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3" w:rsidRDefault="005D2435" w:rsidP="00B43CBF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4A </w:t>
      </w:r>
      <w:r w:rsidR="00666A6A"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Condiç</w:t>
      </w:r>
      <w:r w:rsidR="003F1614">
        <w:rPr>
          <w:rFonts w:cs="Calibri"/>
          <w:b/>
          <w:bCs/>
          <w:sz w:val="20"/>
          <w:szCs w:val="20"/>
          <w:lang w:eastAsia="pt-BR"/>
        </w:rPr>
        <w:t>ões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instalação por subcategoria de uso, grupos de atividade e usos específicos</w:t>
      </w:r>
      <w:r w:rsidR="00882B78"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| Folha 1 de </w:t>
      </w:r>
      <w:r w:rsidR="00612848">
        <w:rPr>
          <w:rFonts w:cs="Calibri"/>
          <w:b/>
          <w:bCs/>
          <w:sz w:val="20"/>
          <w:szCs w:val="20"/>
          <w:lang w:eastAsia="pt-BR"/>
        </w:rPr>
        <w:t>4</w:t>
      </w:r>
    </w:p>
    <w:tbl>
      <w:tblPr>
        <w:tblW w:w="14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791"/>
        <w:gridCol w:w="2663"/>
        <w:gridCol w:w="992"/>
        <w:gridCol w:w="1122"/>
        <w:gridCol w:w="748"/>
        <w:gridCol w:w="776"/>
        <w:gridCol w:w="794"/>
        <w:gridCol w:w="1108"/>
        <w:gridCol w:w="1244"/>
        <w:gridCol w:w="1387"/>
        <w:gridCol w:w="1083"/>
        <w:gridCol w:w="896"/>
      </w:tblGrid>
      <w:tr w:rsidR="00612848" w:rsidRPr="00BE20D9" w:rsidTr="00612848">
        <w:trPr>
          <w:trHeight w:val="18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612848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Sub</w:t>
            </w:r>
          </w:p>
          <w:p w:rsidR="00612848" w:rsidRPr="00BE20D9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categoria de Uso</w:t>
            </w:r>
          </w:p>
        </w:tc>
        <w:tc>
          <w:tcPr>
            <w:tcW w:w="791" w:type="dxa"/>
            <w:vMerge w:val="restart"/>
            <w:shd w:val="clear" w:color="auto" w:fill="C0C0C0"/>
            <w:vAlign w:val="center"/>
          </w:tcPr>
          <w:p w:rsidR="00612848" w:rsidRPr="00BE20D9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663" w:type="dxa"/>
            <w:vMerge w:val="restart"/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3638" w:type="dxa"/>
            <w:gridSpan w:val="4"/>
            <w:vMerge w:val="restart"/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Número mínimo de vagas por área construída computável (em m²)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a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94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Vestiário usuário bicicleta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739" w:type="dxa"/>
            <w:gridSpan w:val="3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Carga e Descarga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d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vMerge w:val="restart"/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Embarque e Desembarque</w:t>
            </w:r>
          </w:p>
        </w:tc>
        <w:tc>
          <w:tcPr>
            <w:tcW w:w="896" w:type="dxa"/>
            <w:vMerge w:val="restart"/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Largura de via</w:t>
            </w:r>
          </w:p>
        </w:tc>
      </w:tr>
      <w:tr w:rsidR="00612848" w:rsidRPr="00BE20D9" w:rsidTr="00612848">
        <w:trPr>
          <w:trHeight w:val="120"/>
        </w:trPr>
        <w:tc>
          <w:tcPr>
            <w:tcW w:w="772" w:type="dxa"/>
            <w:vMerge/>
            <w:vAlign w:val="center"/>
          </w:tcPr>
          <w:p w:rsidR="00612848" w:rsidRPr="00BE20D9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vMerge/>
            <w:vAlign w:val="center"/>
          </w:tcPr>
          <w:p w:rsidR="00612848" w:rsidRPr="00BE20D9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3" w:type="dxa"/>
            <w:vMerge/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38" w:type="dxa"/>
            <w:gridSpan w:val="4"/>
            <w:vMerge/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utilitário</w:t>
            </w:r>
          </w:p>
        </w:tc>
        <w:tc>
          <w:tcPr>
            <w:tcW w:w="2631" w:type="dxa"/>
            <w:gridSpan w:val="2"/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caminhão</w:t>
            </w:r>
          </w:p>
        </w:tc>
        <w:tc>
          <w:tcPr>
            <w:tcW w:w="1083" w:type="dxa"/>
            <w:vMerge/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12848" w:rsidRPr="00BE20D9" w:rsidTr="00612848">
        <w:trPr>
          <w:trHeight w:val="615"/>
        </w:trPr>
        <w:tc>
          <w:tcPr>
            <w:tcW w:w="772" w:type="dxa"/>
            <w:vMerge/>
            <w:tcBorders>
              <w:bottom w:val="single" w:sz="12" w:space="0" w:color="auto"/>
            </w:tcBorders>
            <w:vAlign w:val="center"/>
          </w:tcPr>
          <w:p w:rsidR="00612848" w:rsidRPr="00BE20D9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vMerge/>
            <w:tcBorders>
              <w:bottom w:val="single" w:sz="12" w:space="0" w:color="auto"/>
            </w:tcBorders>
            <w:vAlign w:val="center"/>
          </w:tcPr>
          <w:p w:rsidR="00612848" w:rsidRPr="00BE20D9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3" w:type="dxa"/>
            <w:vMerge/>
            <w:tcBorders>
              <w:bottom w:val="single" w:sz="12" w:space="0" w:color="auto"/>
            </w:tcBorders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Automóveis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especiais </w:t>
            </w:r>
          </w:p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(D + I)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 motos 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bicicletas </w:t>
            </w:r>
          </w:p>
        </w:tc>
        <w:tc>
          <w:tcPr>
            <w:tcW w:w="7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5D243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Acima de 4.000m²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f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tcBorders>
              <w:bottom w:val="single" w:sz="12" w:space="0" w:color="auto"/>
            </w:tcBorders>
            <w:vAlign w:val="center"/>
          </w:tcPr>
          <w:p w:rsidR="00612848" w:rsidRPr="00D137A0" w:rsidRDefault="00612848" w:rsidP="005D2435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E4D06" w:rsidRPr="00BE20D9" w:rsidTr="00612848">
        <w:trPr>
          <w:trHeight w:val="243"/>
        </w:trPr>
        <w:tc>
          <w:tcPr>
            <w:tcW w:w="77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BE20D9" w:rsidRDefault="009E4D06" w:rsidP="006D592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R</w:t>
            </w:r>
            <w:r>
              <w:rPr>
                <w:rFonts w:cs="Calibri"/>
                <w:sz w:val="16"/>
                <w:szCs w:val="16"/>
                <w:lang w:eastAsia="pt-BR"/>
              </w:rPr>
              <w:t xml:space="preserve"> (j)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410919" w:rsidRDefault="009E4D06" w:rsidP="007F3CB4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R1</w:t>
            </w:r>
          </w:p>
        </w:tc>
        <w:tc>
          <w:tcPr>
            <w:tcW w:w="266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410919" w:rsidRDefault="009E4D06" w:rsidP="005D2435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1 unidade habitacional por lote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</w:tr>
      <w:tr w:rsidR="009E4D06" w:rsidRPr="00BE20D9" w:rsidTr="00612848">
        <w:trPr>
          <w:trHeight w:hRule="exact" w:val="259"/>
        </w:trPr>
        <w:tc>
          <w:tcPr>
            <w:tcW w:w="772" w:type="dxa"/>
            <w:vMerge/>
            <w:shd w:val="clear" w:color="auto" w:fill="FFFFFF"/>
            <w:vAlign w:val="center"/>
          </w:tcPr>
          <w:p w:rsidR="009E4D06" w:rsidRPr="00BE20D9" w:rsidRDefault="009E4D06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9E4D06" w:rsidRPr="00410919" w:rsidRDefault="009E4D06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R2h-1</w:t>
            </w:r>
          </w:p>
          <w:p w:rsidR="009E4D06" w:rsidRPr="00410919" w:rsidRDefault="009E4D06" w:rsidP="006D592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2663" w:type="dxa"/>
            <w:shd w:val="clear" w:color="auto" w:fill="FFFFFF"/>
            <w:vAlign w:val="center"/>
          </w:tcPr>
          <w:p w:rsidR="009E4D06" w:rsidRPr="00410919" w:rsidRDefault="009E4D06" w:rsidP="005D2435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 xml:space="preserve">Casas geminadas 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9E4D06" w:rsidRPr="00BE20D9" w:rsidTr="00612848">
        <w:trPr>
          <w:trHeight w:hRule="exact" w:val="264"/>
        </w:trPr>
        <w:tc>
          <w:tcPr>
            <w:tcW w:w="772" w:type="dxa"/>
            <w:vMerge/>
            <w:shd w:val="clear" w:color="auto" w:fill="FFFFFF"/>
            <w:vAlign w:val="center"/>
          </w:tcPr>
          <w:p w:rsidR="009E4D06" w:rsidRPr="00BE20D9" w:rsidRDefault="009E4D06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9E4D06" w:rsidRPr="00410919" w:rsidRDefault="009E4D06" w:rsidP="005663A3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R2h-2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E4D06" w:rsidRPr="00410919" w:rsidDel="009505BD" w:rsidRDefault="009E4D06" w:rsidP="005D2435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Casas superpostas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9E4D06" w:rsidRPr="00BE20D9" w:rsidTr="00612848">
        <w:trPr>
          <w:trHeight w:val="193"/>
        </w:trPr>
        <w:tc>
          <w:tcPr>
            <w:tcW w:w="772" w:type="dxa"/>
            <w:vMerge/>
            <w:shd w:val="clear" w:color="auto" w:fill="FFFFFF"/>
            <w:vAlign w:val="center"/>
          </w:tcPr>
          <w:p w:rsidR="009E4D06" w:rsidRPr="00BE20D9" w:rsidRDefault="009E4D06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9E4D06" w:rsidRPr="00410919" w:rsidRDefault="009E4D06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R2h- 3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E4D06" w:rsidRPr="00410919" w:rsidDel="009505BD" w:rsidRDefault="009E4D06" w:rsidP="005D2435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 xml:space="preserve">Conjunto residencial horizontal 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9E4D06" w:rsidRPr="00D137A0" w:rsidRDefault="009E4D06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60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R2v-1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41091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Conjunto residencial com até 2500m² de área construída computável ou até 100 unidades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b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1% (</w:t>
            </w:r>
            <w:r>
              <w:rPr>
                <w:rFonts w:cs="Calibri"/>
                <w:sz w:val="16"/>
                <w:szCs w:val="16"/>
                <w:lang w:eastAsia="pt-BR"/>
              </w:rPr>
              <w:t>b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000C2F" w:rsidRDefault="00410919" w:rsidP="0041091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F1E8B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200 unidades habitacionais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200 unidades habitacionais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58556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8m</w:t>
            </w:r>
          </w:p>
        </w:tc>
      </w:tr>
      <w:tr w:rsidR="00410919" w:rsidRPr="00BE20D9" w:rsidTr="00612848">
        <w:trPr>
          <w:trHeight w:val="131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 xml:space="preserve">R2v-2 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410919">
            <w:pPr>
              <w:jc w:val="left"/>
              <w:rPr>
                <w:rFonts w:cs="Calibri"/>
                <w:sz w:val="16"/>
                <w:szCs w:val="16"/>
                <w:lang w:val="x-none"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 xml:space="preserve">Conjunto residencial entre 2.500 m² até </w:t>
            </w:r>
            <w:smartTag w:uri="urn:schemas-microsoft-com:office:smarttags" w:element="metricconverter">
              <w:smartTagPr>
                <w:attr w:name="ProductID" w:val="10.000 mﾲ"/>
              </w:smartTagPr>
              <w:r w:rsidRPr="00410919">
                <w:rPr>
                  <w:rFonts w:cs="Calibri"/>
                  <w:bCs/>
                  <w:sz w:val="16"/>
                  <w:szCs w:val="16"/>
                  <w:lang w:eastAsia="pt-BR"/>
                </w:rPr>
                <w:t>10.000 m²</w:t>
              </w:r>
            </w:smartTag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 xml:space="preserve"> de área construída computável ou até 200 unidades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</w:t>
            </w:r>
          </w:p>
        </w:tc>
        <w:tc>
          <w:tcPr>
            <w:tcW w:w="748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b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1% (</w:t>
            </w:r>
            <w:r>
              <w:rPr>
                <w:rFonts w:cs="Calibri"/>
                <w:sz w:val="16"/>
                <w:szCs w:val="16"/>
                <w:lang w:eastAsia="pt-BR"/>
              </w:rPr>
              <w:t>b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94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F1E8B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200 unidades habitacionais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200 unidades habitacionais</w:t>
            </w:r>
          </w:p>
        </w:tc>
        <w:tc>
          <w:tcPr>
            <w:tcW w:w="1083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58556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10m</w:t>
            </w:r>
          </w:p>
        </w:tc>
      </w:tr>
      <w:tr w:rsidR="00410919" w:rsidRPr="00BE20D9" w:rsidTr="00612848">
        <w:trPr>
          <w:trHeight w:val="131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R2v-3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41091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 xml:space="preserve">Conjunto residencial entre 10.000 m² e </w:t>
            </w:r>
            <w:smartTag w:uri="urn:schemas-microsoft-com:office:smarttags" w:element="metricconverter">
              <w:smartTagPr>
                <w:attr w:name="ProductID" w:val="20.000 mﾲ"/>
              </w:smartTagPr>
              <w:r w:rsidRPr="00410919">
                <w:rPr>
                  <w:rFonts w:cs="Calibri"/>
                  <w:bCs/>
                  <w:sz w:val="16"/>
                  <w:szCs w:val="16"/>
                  <w:lang w:eastAsia="pt-BR"/>
                </w:rPr>
                <w:t>20.000 m²</w:t>
              </w:r>
            </w:smartTag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 xml:space="preserve"> de área construída computável ou com mais de 200 até 400 unidades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131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R2v-4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5D2435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Conjunto residencial com mais de 20.000m² de área construída computável ou mais de 400 unidades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129"/>
        </w:trPr>
        <w:tc>
          <w:tcPr>
            <w:tcW w:w="77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proofErr w:type="spellStart"/>
            <w:r w:rsidRPr="00BE20D9">
              <w:rPr>
                <w:rFonts w:cs="Calibri"/>
                <w:sz w:val="16"/>
                <w:szCs w:val="16"/>
                <w:lang w:eastAsia="pt-BR"/>
              </w:rPr>
              <w:t>nRa</w:t>
            </w:r>
            <w:proofErr w:type="spellEnd"/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nRa-1</w:t>
            </w:r>
          </w:p>
        </w:tc>
        <w:tc>
          <w:tcPr>
            <w:tcW w:w="266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Atividades de pesquisa e educação ambiental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1/100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≥8m</w:t>
            </w:r>
          </w:p>
        </w:tc>
      </w:tr>
      <w:tr w:rsidR="00410919" w:rsidRPr="00BE20D9" w:rsidTr="00612848">
        <w:trPr>
          <w:trHeight w:val="128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nRa-2</w:t>
            </w:r>
          </w:p>
        </w:tc>
        <w:tc>
          <w:tcPr>
            <w:tcW w:w="266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Atividades de manejo sustentável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128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nRa-3</w:t>
            </w:r>
          </w:p>
        </w:tc>
        <w:tc>
          <w:tcPr>
            <w:tcW w:w="266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Ecoturismo e lazer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129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nRa-4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Comércio especializado de produtos agropecuários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128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highlight w:val="yellow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nRa-5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830BC0">
            <w:pPr>
              <w:spacing w:line="180" w:lineRule="exact"/>
              <w:contextualSpacing/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Captação de água mineral/potável de mesa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612848">
        <w:trPr>
          <w:trHeight w:val="128"/>
        </w:trPr>
        <w:tc>
          <w:tcPr>
            <w:tcW w:w="772" w:type="dxa"/>
            <w:vMerge/>
            <w:shd w:val="clear" w:color="auto" w:fill="FFFFFF"/>
            <w:vAlign w:val="center"/>
          </w:tcPr>
          <w:p w:rsidR="00410919" w:rsidRPr="00BE20D9" w:rsidRDefault="00410919" w:rsidP="005D2435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410919" w:rsidRPr="00410919" w:rsidRDefault="00410919" w:rsidP="001A5B16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nRa-6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10919" w:rsidRPr="00410919" w:rsidRDefault="00410919" w:rsidP="00830BC0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Local de eventos ambientalmente compatível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1/100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10919" w:rsidRPr="00D137A0" w:rsidRDefault="00410919" w:rsidP="009E4D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10m</w:t>
            </w:r>
          </w:p>
        </w:tc>
      </w:tr>
    </w:tbl>
    <w:p w:rsidR="00AF3524" w:rsidRPr="00AF3524" w:rsidRDefault="00326CD5" w:rsidP="00AF3524">
      <w:pPr>
        <w:rPr>
          <w:rFonts w:cs="Calibri"/>
          <w:bCs/>
          <w:sz w:val="18"/>
          <w:szCs w:val="18"/>
          <w:lang w:eastAsia="pt-BR"/>
        </w:rPr>
      </w:pPr>
      <w:r w:rsidRPr="00AF3524">
        <w:rPr>
          <w:rFonts w:cs="Calibri"/>
          <w:bCs/>
          <w:sz w:val="18"/>
          <w:szCs w:val="18"/>
          <w:lang w:eastAsia="pt-BR"/>
        </w:rPr>
        <w:t>Notas: NA = Não se aplica</w:t>
      </w:r>
    </w:p>
    <w:p w:rsidR="00AF3524" w:rsidRPr="00AF3524" w:rsidRDefault="00344C5A" w:rsidP="00AF3524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a</w:t>
      </w:r>
      <w:r w:rsidR="00AF3524" w:rsidRPr="00AF3524">
        <w:rPr>
          <w:rFonts w:cs="Calibri"/>
          <w:bCs/>
          <w:sz w:val="18"/>
          <w:szCs w:val="18"/>
          <w:lang w:eastAsia="pt-BR"/>
        </w:rPr>
        <w:t xml:space="preserve">) </w:t>
      </w:r>
      <w:r w:rsidR="00F32F3C">
        <w:rPr>
          <w:rFonts w:cs="Calibri"/>
          <w:bCs/>
          <w:sz w:val="18"/>
          <w:szCs w:val="18"/>
          <w:lang w:eastAsia="pt-BR"/>
        </w:rPr>
        <w:t>V</w:t>
      </w:r>
      <w:r w:rsidR="00326CD5" w:rsidRPr="00AF3524">
        <w:rPr>
          <w:rFonts w:cs="Calibri"/>
          <w:bCs/>
          <w:sz w:val="18"/>
          <w:szCs w:val="18"/>
          <w:lang w:eastAsia="pt-BR"/>
        </w:rPr>
        <w:t xml:space="preserve">aga por metro quadrado de área construída computável. </w:t>
      </w:r>
      <w:r w:rsidR="00F32F3C">
        <w:rPr>
          <w:rFonts w:cs="Calibri"/>
          <w:bCs/>
          <w:sz w:val="18"/>
          <w:szCs w:val="18"/>
          <w:lang w:eastAsia="pt-BR"/>
        </w:rPr>
        <w:t>N</w:t>
      </w:r>
      <w:r w:rsidR="00326CD5" w:rsidRPr="00AF3524">
        <w:rPr>
          <w:rFonts w:cs="Calibri"/>
          <w:bCs/>
          <w:sz w:val="18"/>
          <w:szCs w:val="18"/>
          <w:lang w:eastAsia="pt-BR"/>
        </w:rPr>
        <w:t xml:space="preserve">ão se aplica nas zonas de uso ZEU, </w:t>
      </w:r>
      <w:proofErr w:type="spellStart"/>
      <w:r w:rsidR="00326CD5" w:rsidRPr="00AF3524">
        <w:rPr>
          <w:rFonts w:cs="Calibri"/>
          <w:bCs/>
          <w:sz w:val="18"/>
          <w:szCs w:val="18"/>
          <w:lang w:eastAsia="pt-BR"/>
        </w:rPr>
        <w:t>ZEUa</w:t>
      </w:r>
      <w:proofErr w:type="spellEnd"/>
      <w:r w:rsidR="00326CD5" w:rsidRPr="00AF3524">
        <w:rPr>
          <w:rFonts w:cs="Calibri"/>
          <w:bCs/>
          <w:sz w:val="18"/>
          <w:szCs w:val="18"/>
          <w:lang w:eastAsia="pt-BR"/>
        </w:rPr>
        <w:t xml:space="preserve">, ZEUP e </w:t>
      </w:r>
      <w:proofErr w:type="spellStart"/>
      <w:r w:rsidR="00326CD5" w:rsidRPr="00AF3524">
        <w:rPr>
          <w:rFonts w:cs="Calibri"/>
          <w:bCs/>
          <w:sz w:val="18"/>
          <w:szCs w:val="18"/>
          <w:lang w:eastAsia="pt-BR"/>
        </w:rPr>
        <w:t>ZEUPa</w:t>
      </w:r>
      <w:proofErr w:type="spellEnd"/>
      <w:r w:rsidR="00F32F3C">
        <w:rPr>
          <w:rFonts w:cs="Calibri"/>
          <w:bCs/>
          <w:sz w:val="18"/>
          <w:szCs w:val="18"/>
          <w:lang w:eastAsia="pt-BR"/>
        </w:rPr>
        <w:t xml:space="preserve">, ZEM, </w:t>
      </w:r>
      <w:r w:rsidR="00F32F3C" w:rsidRPr="00785915">
        <w:rPr>
          <w:rFonts w:cs="Calibri"/>
          <w:bCs/>
          <w:sz w:val="18"/>
          <w:szCs w:val="18"/>
          <w:lang w:eastAsia="pt-BR"/>
        </w:rPr>
        <w:t>ZEMP</w:t>
      </w:r>
      <w:r w:rsidR="006C5E88" w:rsidRPr="00785915">
        <w:rPr>
          <w:rFonts w:cs="Calibri"/>
          <w:bCs/>
          <w:sz w:val="18"/>
          <w:szCs w:val="18"/>
          <w:lang w:eastAsia="pt-BR"/>
        </w:rPr>
        <w:t xml:space="preserve"> e nos usos não residenciais em lotes com área inferior a 250m em todas as zonas.</w:t>
      </w:r>
    </w:p>
    <w:p w:rsidR="00AF3524" w:rsidRPr="008471F6" w:rsidRDefault="00344C5A" w:rsidP="00AF3524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b</w:t>
      </w:r>
      <w:r w:rsidR="00AF3524" w:rsidRPr="00AF3524">
        <w:rPr>
          <w:rFonts w:cs="Calibri"/>
          <w:bCs/>
          <w:sz w:val="18"/>
          <w:szCs w:val="18"/>
          <w:lang w:eastAsia="pt-BR"/>
        </w:rPr>
        <w:t xml:space="preserve">) </w:t>
      </w:r>
      <w:r w:rsidR="00326CD5" w:rsidRPr="00AF3524">
        <w:rPr>
          <w:rFonts w:cs="Calibri"/>
          <w:bCs/>
          <w:sz w:val="18"/>
          <w:szCs w:val="18"/>
          <w:lang w:eastAsia="pt-BR"/>
        </w:rPr>
        <w:t xml:space="preserve">Incide sobre a </w:t>
      </w:r>
      <w:r w:rsidR="00240D75">
        <w:rPr>
          <w:rFonts w:cs="Calibri"/>
          <w:bCs/>
          <w:sz w:val="18"/>
          <w:szCs w:val="18"/>
          <w:lang w:eastAsia="pt-BR"/>
        </w:rPr>
        <w:t xml:space="preserve"> porcentagem</w:t>
      </w:r>
      <w:r w:rsidR="00326CD5" w:rsidRPr="00AF3524">
        <w:rPr>
          <w:rFonts w:cs="Calibri"/>
          <w:bCs/>
          <w:sz w:val="18"/>
          <w:szCs w:val="18"/>
          <w:lang w:eastAsia="pt-BR"/>
        </w:rPr>
        <w:t xml:space="preserve"> das vagas de </w:t>
      </w:r>
      <w:r w:rsidR="00F32F3C">
        <w:rPr>
          <w:rFonts w:cs="Calibri"/>
          <w:bCs/>
          <w:sz w:val="18"/>
          <w:szCs w:val="18"/>
          <w:lang w:eastAsia="pt-BR"/>
        </w:rPr>
        <w:t>estacionamento</w:t>
      </w:r>
      <w:r w:rsidR="00326CD5" w:rsidRPr="00AF3524">
        <w:rPr>
          <w:rFonts w:cs="Calibri"/>
          <w:bCs/>
          <w:sz w:val="18"/>
          <w:szCs w:val="18"/>
          <w:lang w:eastAsia="pt-BR"/>
        </w:rPr>
        <w:t xml:space="preserve"> adotadas no projeto.</w:t>
      </w:r>
      <w:r w:rsidR="008471F6">
        <w:rPr>
          <w:rFonts w:cs="Calibri"/>
          <w:bCs/>
          <w:sz w:val="18"/>
          <w:szCs w:val="18"/>
          <w:lang w:eastAsia="pt-BR"/>
        </w:rPr>
        <w:t xml:space="preserve"> </w:t>
      </w:r>
      <w:r w:rsidR="00F32F3C">
        <w:rPr>
          <w:rFonts w:cs="Calibri"/>
          <w:bCs/>
          <w:sz w:val="18"/>
          <w:szCs w:val="18"/>
          <w:lang w:eastAsia="pt-BR"/>
        </w:rPr>
        <w:t xml:space="preserve">D: porcentagem de vagas para deficientes. I: porcentagem de vagas para idosos. </w:t>
      </w:r>
    </w:p>
    <w:p w:rsidR="00AF3524" w:rsidRPr="00AF3524" w:rsidRDefault="00344C5A" w:rsidP="00AF3524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c</w:t>
      </w:r>
      <w:r w:rsidR="00AF3524" w:rsidRPr="00AF3524">
        <w:rPr>
          <w:rFonts w:cs="Calibri"/>
          <w:bCs/>
          <w:sz w:val="18"/>
          <w:szCs w:val="18"/>
          <w:lang w:eastAsia="pt-BR"/>
        </w:rPr>
        <w:t xml:space="preserve">) </w:t>
      </w:r>
      <w:r w:rsidR="00326CD5" w:rsidRPr="00AF3524">
        <w:rPr>
          <w:rFonts w:cs="Calibri"/>
          <w:bCs/>
          <w:sz w:val="18"/>
          <w:szCs w:val="18"/>
          <w:lang w:eastAsia="pt-BR"/>
        </w:rPr>
        <w:t>Vestiário com área mínima de 1,20m² para cada chuveiro instalado</w:t>
      </w:r>
      <w:r w:rsidR="00F32F3C">
        <w:rPr>
          <w:rFonts w:cs="Calibri"/>
          <w:bCs/>
          <w:sz w:val="18"/>
          <w:szCs w:val="18"/>
          <w:lang w:eastAsia="pt-BR"/>
        </w:rPr>
        <w:t>,</w:t>
      </w:r>
      <w:r w:rsidR="00326CD5" w:rsidRPr="00AF3524">
        <w:rPr>
          <w:rFonts w:cs="Calibri"/>
          <w:bCs/>
          <w:sz w:val="18"/>
          <w:szCs w:val="18"/>
          <w:lang w:eastAsia="pt-BR"/>
        </w:rPr>
        <w:t xml:space="preserve"> excetuada a área do próprio chuveiro, conforme Código de Obras e Edificações.</w:t>
      </w:r>
    </w:p>
    <w:p w:rsidR="00326CD5" w:rsidRDefault="00344C5A" w:rsidP="00AF3524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d</w:t>
      </w:r>
      <w:r w:rsidR="00AF3524" w:rsidRPr="00AF3524">
        <w:rPr>
          <w:rFonts w:cs="Calibri"/>
          <w:bCs/>
          <w:sz w:val="18"/>
          <w:szCs w:val="18"/>
          <w:lang w:eastAsia="pt-BR"/>
        </w:rPr>
        <w:t xml:space="preserve">) </w:t>
      </w:r>
      <w:r w:rsidR="00F32F3C">
        <w:rPr>
          <w:rFonts w:cs="Calibri"/>
          <w:bCs/>
          <w:sz w:val="18"/>
          <w:szCs w:val="18"/>
          <w:lang w:eastAsia="pt-BR"/>
        </w:rPr>
        <w:t xml:space="preserve">Não se exige vaga para carga e descarga nos lotes até </w:t>
      </w:r>
      <w:smartTag w:uri="urn:schemas-microsoft-com:office:smarttags" w:element="metricconverter">
        <w:smartTagPr>
          <w:attr w:name="ProductID" w:val="250 mﾲ"/>
        </w:smartTagPr>
        <w:r w:rsidR="00F32F3C">
          <w:rPr>
            <w:rFonts w:cs="Calibri"/>
            <w:bCs/>
            <w:sz w:val="18"/>
            <w:szCs w:val="18"/>
            <w:lang w:eastAsia="pt-BR"/>
          </w:rPr>
          <w:t>250 m²</w:t>
        </w:r>
      </w:smartTag>
      <w:r w:rsidR="00F32F3C">
        <w:rPr>
          <w:rFonts w:cs="Calibri"/>
          <w:bCs/>
          <w:sz w:val="18"/>
          <w:szCs w:val="18"/>
          <w:lang w:eastAsia="pt-BR"/>
        </w:rPr>
        <w:t xml:space="preserve"> (duzentos e cinquenta metros quadrados)</w:t>
      </w:r>
      <w:r w:rsidR="008471F6">
        <w:rPr>
          <w:rFonts w:cs="Calibri"/>
          <w:bCs/>
          <w:sz w:val="18"/>
          <w:szCs w:val="18"/>
          <w:lang w:eastAsia="pt-BR"/>
        </w:rPr>
        <w:t>.</w:t>
      </w:r>
    </w:p>
    <w:p w:rsidR="008471F6" w:rsidRPr="003E393E" w:rsidRDefault="00344C5A" w:rsidP="00AF3524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e</w:t>
      </w:r>
      <w:r w:rsidR="008471F6">
        <w:rPr>
          <w:rFonts w:cs="Calibri"/>
          <w:bCs/>
          <w:sz w:val="18"/>
          <w:szCs w:val="18"/>
          <w:lang w:eastAsia="pt-BR"/>
        </w:rPr>
        <w:t xml:space="preserve">) Incide sobre a </w:t>
      </w:r>
      <w:r w:rsidR="008471F6" w:rsidRPr="003E393E">
        <w:rPr>
          <w:rFonts w:cs="Calibri"/>
          <w:bCs/>
          <w:sz w:val="18"/>
          <w:szCs w:val="18"/>
          <w:lang w:eastAsia="pt-BR"/>
        </w:rPr>
        <w:t xml:space="preserve">porcentagem das vagas de </w:t>
      </w:r>
      <w:r w:rsidR="00F32F3C" w:rsidRPr="003E393E">
        <w:rPr>
          <w:rFonts w:cs="Calibri"/>
          <w:bCs/>
          <w:sz w:val="18"/>
          <w:szCs w:val="18"/>
          <w:lang w:eastAsia="pt-BR"/>
        </w:rPr>
        <w:t>estacionamento</w:t>
      </w:r>
      <w:r w:rsidR="008471F6" w:rsidRPr="003E393E">
        <w:rPr>
          <w:rFonts w:cs="Calibri"/>
          <w:bCs/>
          <w:sz w:val="18"/>
          <w:szCs w:val="18"/>
          <w:lang w:eastAsia="pt-BR"/>
        </w:rPr>
        <w:t xml:space="preserve"> exigidas </w:t>
      </w:r>
      <w:r w:rsidR="00F32F3C" w:rsidRPr="003E393E">
        <w:rPr>
          <w:rFonts w:cs="Calibri"/>
          <w:bCs/>
          <w:sz w:val="18"/>
          <w:szCs w:val="18"/>
          <w:lang w:eastAsia="pt-BR"/>
        </w:rPr>
        <w:t>pelas demais leis</w:t>
      </w:r>
      <w:r w:rsidR="008471F6" w:rsidRPr="003E393E">
        <w:rPr>
          <w:rFonts w:cs="Calibri"/>
          <w:bCs/>
          <w:sz w:val="18"/>
          <w:szCs w:val="18"/>
          <w:lang w:eastAsia="pt-BR"/>
        </w:rPr>
        <w:t>.</w:t>
      </w:r>
    </w:p>
    <w:p w:rsidR="008471F6" w:rsidRPr="003E393E" w:rsidRDefault="00344C5A" w:rsidP="00AF3524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f</w:t>
      </w:r>
      <w:r w:rsidR="008471F6" w:rsidRPr="003E393E">
        <w:rPr>
          <w:rFonts w:cs="Calibri"/>
          <w:bCs/>
          <w:sz w:val="18"/>
          <w:szCs w:val="18"/>
          <w:lang w:eastAsia="pt-BR"/>
        </w:rPr>
        <w:t xml:space="preserve">) Para empreendimento </w:t>
      </w:r>
      <w:r w:rsidR="00F32F3C" w:rsidRPr="003E393E">
        <w:rPr>
          <w:rFonts w:cs="Calibri"/>
          <w:bCs/>
          <w:sz w:val="18"/>
          <w:szCs w:val="18"/>
          <w:lang w:eastAsia="pt-BR"/>
        </w:rPr>
        <w:t xml:space="preserve">não residenciais acima de 10.000m² de área </w:t>
      </w:r>
      <w:r w:rsidR="008471F6" w:rsidRPr="003E393E">
        <w:rPr>
          <w:rFonts w:cs="Calibri"/>
          <w:bCs/>
          <w:sz w:val="18"/>
          <w:szCs w:val="18"/>
          <w:lang w:eastAsia="pt-BR"/>
        </w:rPr>
        <w:t>c</w:t>
      </w:r>
      <w:r w:rsidR="00F32F3C" w:rsidRPr="003E393E">
        <w:rPr>
          <w:rFonts w:cs="Calibri"/>
          <w:bCs/>
          <w:sz w:val="18"/>
          <w:szCs w:val="18"/>
          <w:lang w:eastAsia="pt-BR"/>
        </w:rPr>
        <w:t xml:space="preserve">onstruída </w:t>
      </w:r>
      <w:r w:rsidR="008471F6" w:rsidRPr="003E393E">
        <w:rPr>
          <w:rFonts w:cs="Calibri"/>
          <w:bCs/>
          <w:sz w:val="18"/>
          <w:szCs w:val="18"/>
          <w:lang w:eastAsia="pt-BR"/>
        </w:rPr>
        <w:t>c</w:t>
      </w:r>
      <w:r w:rsidR="00F32F3C" w:rsidRPr="003E393E">
        <w:rPr>
          <w:rFonts w:cs="Calibri"/>
          <w:bCs/>
          <w:sz w:val="18"/>
          <w:szCs w:val="18"/>
          <w:lang w:eastAsia="pt-BR"/>
        </w:rPr>
        <w:t>omputável,</w:t>
      </w:r>
      <w:r w:rsidR="008471F6" w:rsidRPr="003E393E">
        <w:rPr>
          <w:rFonts w:cs="Calibri"/>
          <w:bCs/>
          <w:sz w:val="18"/>
          <w:szCs w:val="18"/>
          <w:lang w:eastAsia="pt-BR"/>
        </w:rPr>
        <w:t xml:space="preserve"> as vagas para caminhão devem ser compartilhadas com os ônibus fretados.</w:t>
      </w:r>
    </w:p>
    <w:p w:rsidR="00DE7886" w:rsidRPr="003E393E" w:rsidRDefault="00344C5A" w:rsidP="00AF3524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h</w:t>
      </w:r>
      <w:r w:rsidR="00DE7886" w:rsidRPr="003E393E">
        <w:rPr>
          <w:rFonts w:cs="Calibri"/>
          <w:bCs/>
          <w:sz w:val="18"/>
          <w:szCs w:val="18"/>
          <w:lang w:eastAsia="pt-BR"/>
        </w:rPr>
        <w:t xml:space="preserve">) Permitida a instalação de equipamento de saúde em via com largura menos do que </w:t>
      </w:r>
      <w:smartTag w:uri="urn:schemas-microsoft-com:office:smarttags" w:element="metricconverter">
        <w:smartTagPr>
          <w:attr w:name="ProductID" w:val="12 m"/>
        </w:smartTagPr>
        <w:r w:rsidR="00DE7886"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="00DE7886" w:rsidRPr="003E393E">
        <w:rPr>
          <w:rFonts w:cs="Calibri"/>
          <w:bCs/>
          <w:sz w:val="18"/>
          <w:szCs w:val="18"/>
          <w:lang w:eastAsia="pt-BR"/>
        </w:rPr>
        <w:t xml:space="preserve"> (doze metros), desde que a edificação esteja afastada a uma distância mínima de </w:t>
      </w:r>
      <w:smartTag w:uri="urn:schemas-microsoft-com:office:smarttags" w:element="metricconverter">
        <w:smartTagPr>
          <w:attr w:name="ProductID" w:val="12 m"/>
        </w:smartTagPr>
        <w:r w:rsidR="00DE7886"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="00DE7886" w:rsidRPr="003E393E">
        <w:rPr>
          <w:rFonts w:cs="Calibri"/>
          <w:bCs/>
          <w:sz w:val="18"/>
          <w:szCs w:val="18"/>
          <w:lang w:eastAsia="pt-BR"/>
        </w:rPr>
        <w:t xml:space="preserve"> (doze metros) do eixo da rua e haja possibilidade de acessos secundários.</w:t>
      </w:r>
    </w:p>
    <w:p w:rsidR="005C05DD" w:rsidRDefault="00344C5A" w:rsidP="00AF3524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i</w:t>
      </w:r>
      <w:r w:rsidR="00DE7886" w:rsidRPr="003E393E">
        <w:rPr>
          <w:rFonts w:cs="Calibri"/>
          <w:bCs/>
          <w:sz w:val="18"/>
          <w:szCs w:val="18"/>
          <w:lang w:eastAsia="pt-BR"/>
        </w:rPr>
        <w:t xml:space="preserve">) No mínimo uma vaga, mais uma vaga por fração de área construída computável. </w:t>
      </w:r>
      <w:r w:rsidRPr="003E393E">
        <w:rPr>
          <w:rFonts w:cs="Calibri"/>
          <w:bCs/>
          <w:sz w:val="18"/>
          <w:szCs w:val="18"/>
          <w:lang w:eastAsia="pt-BR"/>
        </w:rPr>
        <w:t>j</w:t>
      </w:r>
      <w:r w:rsidR="005C05DD" w:rsidRPr="003E393E">
        <w:rPr>
          <w:rFonts w:cs="Calibri"/>
          <w:bCs/>
          <w:sz w:val="18"/>
          <w:szCs w:val="18"/>
          <w:lang w:eastAsia="pt-BR"/>
        </w:rPr>
        <w:t xml:space="preserve">) </w:t>
      </w:r>
      <w:r w:rsidR="00F5632B" w:rsidRPr="003E393E">
        <w:rPr>
          <w:rFonts w:cs="Calibri"/>
          <w:bCs/>
          <w:sz w:val="18"/>
          <w:szCs w:val="18"/>
          <w:lang w:eastAsia="pt-BR"/>
        </w:rPr>
        <w:t>Conforme determina</w:t>
      </w:r>
      <w:r w:rsidR="00C264B8" w:rsidRPr="003E393E">
        <w:rPr>
          <w:rFonts w:cs="Calibri"/>
          <w:bCs/>
          <w:sz w:val="18"/>
          <w:szCs w:val="18"/>
          <w:lang w:eastAsia="pt-BR"/>
        </w:rPr>
        <w:t xml:space="preserve"> o artigo</w:t>
      </w:r>
      <w:r w:rsidR="00F5632B" w:rsidRPr="003E393E">
        <w:rPr>
          <w:rFonts w:cs="Calibri"/>
          <w:bCs/>
          <w:sz w:val="18"/>
          <w:szCs w:val="18"/>
          <w:lang w:eastAsia="pt-BR"/>
        </w:rPr>
        <w:t xml:space="preserve"> </w:t>
      </w:r>
      <w:r w:rsidR="00C62F24" w:rsidRPr="003E393E">
        <w:rPr>
          <w:rFonts w:cs="Calibri"/>
          <w:bCs/>
          <w:sz w:val="18"/>
          <w:szCs w:val="18"/>
          <w:lang w:eastAsia="pt-BR"/>
        </w:rPr>
        <w:t>83</w:t>
      </w:r>
      <w:r w:rsidR="00F5632B" w:rsidRPr="003E393E">
        <w:rPr>
          <w:rFonts w:cs="Calibri"/>
          <w:bCs/>
          <w:sz w:val="18"/>
          <w:szCs w:val="18"/>
          <w:lang w:eastAsia="pt-BR"/>
        </w:rPr>
        <w:t xml:space="preserve"> desta lei, </w:t>
      </w:r>
      <w:r w:rsidR="005C05DD" w:rsidRPr="003E393E">
        <w:rPr>
          <w:rFonts w:cs="Calibri"/>
          <w:bCs/>
          <w:sz w:val="18"/>
          <w:szCs w:val="18"/>
          <w:lang w:eastAsia="pt-BR"/>
        </w:rPr>
        <w:t>“</w:t>
      </w:r>
      <w:r w:rsidR="00F5632B" w:rsidRPr="003E393E">
        <w:rPr>
          <w:rFonts w:cs="Calibri"/>
          <w:color w:val="000000"/>
          <w:sz w:val="18"/>
          <w:szCs w:val="18"/>
        </w:rPr>
        <w:t xml:space="preserve">Para HIS e HMP devem ser observadas as normas, índices e parâmetros definidos em decreto específico do Executivo, conforme disposições da </w:t>
      </w:r>
      <w:r w:rsidR="00F5632B" w:rsidRPr="003E393E">
        <w:rPr>
          <w:sz w:val="18"/>
          <w:szCs w:val="18"/>
        </w:rPr>
        <w:t>Lei n. 16.050, de 2014 - PDE</w:t>
      </w:r>
      <w:r w:rsidR="00F5632B" w:rsidRPr="003E393E">
        <w:rPr>
          <w:rFonts w:cs="Calibri"/>
          <w:color w:val="000000"/>
          <w:sz w:val="18"/>
          <w:szCs w:val="18"/>
        </w:rPr>
        <w:t>.</w:t>
      </w:r>
      <w:r w:rsidR="005C05DD" w:rsidRPr="003E393E">
        <w:rPr>
          <w:rFonts w:cs="Calibri"/>
          <w:bCs/>
          <w:sz w:val="18"/>
          <w:szCs w:val="18"/>
          <w:lang w:eastAsia="pt-BR"/>
        </w:rPr>
        <w:t>”</w:t>
      </w:r>
      <w:r w:rsidR="005C05DD">
        <w:rPr>
          <w:rFonts w:cs="Calibri"/>
          <w:bCs/>
          <w:sz w:val="18"/>
          <w:szCs w:val="18"/>
          <w:lang w:eastAsia="pt-BR"/>
        </w:rPr>
        <w:t xml:space="preserve"> </w:t>
      </w:r>
    </w:p>
    <w:p w:rsidR="002A304A" w:rsidRDefault="002A304A" w:rsidP="00AF3524">
      <w:pPr>
        <w:rPr>
          <w:rFonts w:cs="Calibri"/>
          <w:bCs/>
          <w:sz w:val="18"/>
          <w:szCs w:val="18"/>
          <w:lang w:eastAsia="pt-BR"/>
        </w:rPr>
      </w:pPr>
    </w:p>
    <w:p w:rsidR="00612848" w:rsidRDefault="00612848" w:rsidP="00612848">
      <w:pPr>
        <w:rPr>
          <w:rFonts w:cs="Calibri"/>
          <w:b/>
          <w:bCs/>
          <w:sz w:val="20"/>
          <w:szCs w:val="20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br w:type="page"/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4A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Condiç</w:t>
      </w:r>
      <w:r>
        <w:rPr>
          <w:rFonts w:cs="Calibri"/>
          <w:b/>
          <w:bCs/>
          <w:sz w:val="20"/>
          <w:szCs w:val="20"/>
          <w:lang w:eastAsia="pt-BR"/>
        </w:rPr>
        <w:t>ões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instalação por subcategoria de uso, grupos de atividade e usos específicos</w:t>
      </w:r>
      <w:r>
        <w:rPr>
          <w:rFonts w:cs="Calibri"/>
          <w:b/>
          <w:bCs/>
          <w:sz w:val="20"/>
          <w:szCs w:val="20"/>
          <w:lang w:eastAsia="pt-BR"/>
        </w:rPr>
        <w:t xml:space="preserve"> | Folha 2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4</w:t>
      </w:r>
    </w:p>
    <w:p w:rsidR="00612848" w:rsidRDefault="00612848" w:rsidP="00AF3524">
      <w:pPr>
        <w:rPr>
          <w:rFonts w:cs="Calibri"/>
          <w:bCs/>
          <w:sz w:val="18"/>
          <w:szCs w:val="18"/>
          <w:lang w:eastAsia="pt-BR"/>
        </w:rPr>
      </w:pPr>
    </w:p>
    <w:tbl>
      <w:tblPr>
        <w:tblW w:w="14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94"/>
        <w:gridCol w:w="2665"/>
        <w:gridCol w:w="992"/>
        <w:gridCol w:w="1122"/>
        <w:gridCol w:w="831"/>
        <w:gridCol w:w="693"/>
        <w:gridCol w:w="692"/>
        <w:gridCol w:w="1108"/>
        <w:gridCol w:w="1244"/>
        <w:gridCol w:w="1383"/>
        <w:gridCol w:w="1083"/>
        <w:gridCol w:w="888"/>
      </w:tblGrid>
      <w:tr w:rsidR="00612848" w:rsidRPr="00BE20D9" w:rsidTr="00612848">
        <w:trPr>
          <w:trHeight w:val="185"/>
        </w:trPr>
        <w:tc>
          <w:tcPr>
            <w:tcW w:w="776" w:type="dxa"/>
            <w:vMerge w:val="restart"/>
            <w:shd w:val="clear" w:color="auto" w:fill="C0C0C0"/>
            <w:vAlign w:val="center"/>
          </w:tcPr>
          <w:p w:rsidR="00612848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Sub</w:t>
            </w:r>
          </w:p>
          <w:p w:rsidR="00612848" w:rsidRPr="00BE20D9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categoria de Uso</w:t>
            </w:r>
          </w:p>
        </w:tc>
        <w:tc>
          <w:tcPr>
            <w:tcW w:w="794" w:type="dxa"/>
            <w:vMerge w:val="restart"/>
            <w:shd w:val="clear" w:color="auto" w:fill="C0C0C0"/>
            <w:vAlign w:val="center"/>
          </w:tcPr>
          <w:p w:rsidR="00612848" w:rsidRPr="00BE20D9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665" w:type="dxa"/>
            <w:vMerge w:val="restart"/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3638" w:type="dxa"/>
            <w:gridSpan w:val="4"/>
            <w:vMerge w:val="restart"/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Número mínimo de vagas por área construída computável (em m²)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a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2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Vestiário usuário bicicleta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735" w:type="dxa"/>
            <w:gridSpan w:val="3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Carga e Descarga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d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vMerge w:val="restart"/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Embarque e Desembarque</w:t>
            </w:r>
          </w:p>
        </w:tc>
        <w:tc>
          <w:tcPr>
            <w:tcW w:w="888" w:type="dxa"/>
            <w:vMerge w:val="restart"/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Largura de via</w:t>
            </w:r>
          </w:p>
        </w:tc>
      </w:tr>
      <w:tr w:rsidR="00612848" w:rsidRPr="00BE20D9" w:rsidTr="00612848">
        <w:trPr>
          <w:trHeight w:val="120"/>
        </w:trPr>
        <w:tc>
          <w:tcPr>
            <w:tcW w:w="776" w:type="dxa"/>
            <w:vMerge/>
            <w:vAlign w:val="center"/>
          </w:tcPr>
          <w:p w:rsidR="00612848" w:rsidRPr="00BE20D9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vAlign w:val="center"/>
          </w:tcPr>
          <w:p w:rsidR="00612848" w:rsidRPr="00BE20D9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38" w:type="dxa"/>
            <w:gridSpan w:val="4"/>
            <w:vMerge/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utilitário</w:t>
            </w:r>
          </w:p>
        </w:tc>
        <w:tc>
          <w:tcPr>
            <w:tcW w:w="2627" w:type="dxa"/>
            <w:gridSpan w:val="2"/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caminhão</w:t>
            </w:r>
          </w:p>
        </w:tc>
        <w:tc>
          <w:tcPr>
            <w:tcW w:w="1083" w:type="dxa"/>
            <w:vMerge/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12848" w:rsidRPr="00BE20D9" w:rsidTr="00612848">
        <w:trPr>
          <w:trHeight w:val="615"/>
        </w:trPr>
        <w:tc>
          <w:tcPr>
            <w:tcW w:w="776" w:type="dxa"/>
            <w:vMerge/>
            <w:tcBorders>
              <w:bottom w:val="single" w:sz="12" w:space="0" w:color="auto"/>
            </w:tcBorders>
            <w:vAlign w:val="center"/>
          </w:tcPr>
          <w:p w:rsidR="00612848" w:rsidRPr="00BE20D9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vMerge/>
            <w:tcBorders>
              <w:bottom w:val="single" w:sz="12" w:space="0" w:color="auto"/>
            </w:tcBorders>
            <w:vAlign w:val="center"/>
          </w:tcPr>
          <w:p w:rsidR="00612848" w:rsidRPr="00BE20D9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Automóveis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especiais </w:t>
            </w:r>
          </w:p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(D + I)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 motos 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bicicletas </w:t>
            </w:r>
          </w:p>
        </w:tc>
        <w:tc>
          <w:tcPr>
            <w:tcW w:w="6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12848" w:rsidRPr="00D137A0" w:rsidRDefault="00612848" w:rsidP="0061284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Acima de 4.000m²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f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tcBorders>
              <w:bottom w:val="single" w:sz="12" w:space="0" w:color="auto"/>
            </w:tcBorders>
            <w:vAlign w:val="center"/>
          </w:tcPr>
          <w:p w:rsidR="00612848" w:rsidRPr="00D137A0" w:rsidRDefault="00612848" w:rsidP="00612848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55"/>
        </w:trPr>
        <w:tc>
          <w:tcPr>
            <w:tcW w:w="77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nR1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nR1-1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Comércio de Abastecimento de âmbito local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≥ 10m </w:t>
            </w:r>
          </w:p>
        </w:tc>
      </w:tr>
      <w:tr w:rsidR="003E393E" w:rsidRPr="00BE20D9" w:rsidTr="00612848">
        <w:trPr>
          <w:trHeight w:val="55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nR1-2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Comércio de alimentação de pequeno porte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5%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1424D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C21B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15ECB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≥8m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55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nR1-3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Comércio diversificado de âmbito local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55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nR1-4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Serviços de saúde de pequeno porte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214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nR1-5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Serviços pessoais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55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nR1-6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Serviços profissionais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55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nR1-7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Serviços técnicos de confecção ou manutenção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193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nR1-8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Serviços de educação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44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C287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≥ </w:t>
            </w:r>
            <w:r>
              <w:rPr>
                <w:rFonts w:cs="Calibri"/>
                <w:sz w:val="16"/>
                <w:szCs w:val="16"/>
                <w:lang w:eastAsia="pt-BR"/>
              </w:rPr>
              <w:t>8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m </w:t>
            </w:r>
          </w:p>
        </w:tc>
      </w:tr>
      <w:tr w:rsidR="003E393E" w:rsidRPr="00BE20D9" w:rsidTr="00612848">
        <w:trPr>
          <w:trHeight w:val="192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nR1-9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 xml:space="preserve">Associações comunitárias, culturais e esportivas de caráter local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5%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44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C287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80D6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≥8m</w:t>
            </w:r>
          </w:p>
        </w:tc>
      </w:tr>
      <w:tr w:rsidR="003E393E" w:rsidRPr="00BE20D9" w:rsidTr="00612848">
        <w:trPr>
          <w:trHeight w:val="130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nR1-10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Serviços públicos sociais de pequeno porte</w:t>
            </w:r>
          </w:p>
        </w:tc>
        <w:tc>
          <w:tcPr>
            <w:tcW w:w="992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62F0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 vaga</w:t>
            </w:r>
          </w:p>
        </w:tc>
        <w:tc>
          <w:tcPr>
            <w:tcW w:w="831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E5F47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2E7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2E7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44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C287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83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80D6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</w:tr>
      <w:tr w:rsidR="003E393E" w:rsidRPr="00BE20D9" w:rsidTr="00612848">
        <w:trPr>
          <w:trHeight w:val="129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nR1-11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Serviços da administração e serviços públicos de pequeno porte</w:t>
            </w:r>
          </w:p>
        </w:tc>
        <w:tc>
          <w:tcPr>
            <w:tcW w:w="992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62F0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 vaga</w:t>
            </w:r>
          </w:p>
        </w:tc>
        <w:tc>
          <w:tcPr>
            <w:tcW w:w="831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E5F47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2E7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2E7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44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C287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83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80D6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</w:tr>
      <w:tr w:rsidR="003E393E" w:rsidRPr="00BE20D9" w:rsidTr="003E393E">
        <w:trPr>
          <w:trHeight w:val="128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nR1-12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Serviços de hospedagem ou moradia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31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5%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059B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C287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83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80D6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≥8m</w:t>
            </w:r>
          </w:p>
        </w:tc>
      </w:tr>
      <w:tr w:rsidR="003E393E" w:rsidRPr="00BE20D9" w:rsidTr="00612848">
        <w:trPr>
          <w:trHeight w:val="128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nR1-13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bCs/>
                <w:sz w:val="16"/>
                <w:szCs w:val="16"/>
                <w:lang w:eastAsia="pt-BR"/>
              </w:rPr>
              <w:t>Local de reunião de pequeno porte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83" w:type="dxa"/>
            <w:vMerge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612848">
        <w:trPr>
          <w:trHeight w:val="130"/>
        </w:trPr>
        <w:tc>
          <w:tcPr>
            <w:tcW w:w="776" w:type="dxa"/>
            <w:vMerge/>
            <w:shd w:val="clear" w:color="auto" w:fill="FFFFFF"/>
            <w:vAlign w:val="center"/>
          </w:tcPr>
          <w:p w:rsidR="003E393E" w:rsidRPr="00BE20D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nR1-14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E393E" w:rsidRPr="00410919" w:rsidRDefault="003E393E" w:rsidP="00612848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410919">
              <w:rPr>
                <w:rFonts w:cs="Calibri"/>
                <w:sz w:val="16"/>
                <w:szCs w:val="16"/>
                <w:lang w:eastAsia="pt-BR"/>
              </w:rPr>
              <w:t>Central de armazenamento e distribuição de cargas de pequeno porte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44" w:type="dxa"/>
            <w:shd w:val="clear" w:color="auto" w:fill="FFFFFF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7C287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3E393E" w:rsidRPr="00D137A0" w:rsidRDefault="003E393E" w:rsidP="00612848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≥ 10m </w:t>
            </w:r>
          </w:p>
        </w:tc>
      </w:tr>
    </w:tbl>
    <w:p w:rsidR="003E393E" w:rsidRPr="00AF3524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AF3524">
        <w:rPr>
          <w:rFonts w:cs="Calibri"/>
          <w:bCs/>
          <w:sz w:val="18"/>
          <w:szCs w:val="18"/>
          <w:lang w:eastAsia="pt-BR"/>
        </w:rPr>
        <w:t xml:space="preserve">Notas: </w:t>
      </w:r>
    </w:p>
    <w:p w:rsidR="003E393E" w:rsidRPr="00AF3524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AF3524">
        <w:rPr>
          <w:rFonts w:cs="Calibri"/>
          <w:bCs/>
          <w:sz w:val="18"/>
          <w:szCs w:val="18"/>
          <w:lang w:eastAsia="pt-BR"/>
        </w:rPr>
        <w:t>NA = Não se aplica</w:t>
      </w:r>
    </w:p>
    <w:p w:rsidR="003E393E" w:rsidRPr="00AF3524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a</w:t>
      </w:r>
      <w:r w:rsidRPr="00AF3524">
        <w:rPr>
          <w:rFonts w:cs="Calibri"/>
          <w:bCs/>
          <w:sz w:val="18"/>
          <w:szCs w:val="18"/>
          <w:lang w:eastAsia="pt-BR"/>
        </w:rPr>
        <w:t xml:space="preserve">) </w:t>
      </w:r>
      <w:r>
        <w:rPr>
          <w:rFonts w:cs="Calibri"/>
          <w:bCs/>
          <w:sz w:val="18"/>
          <w:szCs w:val="18"/>
          <w:lang w:eastAsia="pt-BR"/>
        </w:rPr>
        <w:t>V</w:t>
      </w:r>
      <w:r w:rsidRPr="00AF3524">
        <w:rPr>
          <w:rFonts w:cs="Calibri"/>
          <w:bCs/>
          <w:sz w:val="18"/>
          <w:szCs w:val="18"/>
          <w:lang w:eastAsia="pt-BR"/>
        </w:rPr>
        <w:t xml:space="preserve">aga por metro quadrado de área construída computável. </w:t>
      </w:r>
      <w:r>
        <w:rPr>
          <w:rFonts w:cs="Calibri"/>
          <w:bCs/>
          <w:sz w:val="18"/>
          <w:szCs w:val="18"/>
          <w:lang w:eastAsia="pt-BR"/>
        </w:rPr>
        <w:t>N</w:t>
      </w:r>
      <w:r w:rsidRPr="00AF3524">
        <w:rPr>
          <w:rFonts w:cs="Calibri"/>
          <w:bCs/>
          <w:sz w:val="18"/>
          <w:szCs w:val="18"/>
          <w:lang w:eastAsia="pt-BR"/>
        </w:rPr>
        <w:t xml:space="preserve">ão se aplica nas zonas de uso ZEU, </w:t>
      </w:r>
      <w:proofErr w:type="spellStart"/>
      <w:r w:rsidRPr="00AF3524">
        <w:rPr>
          <w:rFonts w:cs="Calibri"/>
          <w:bCs/>
          <w:sz w:val="18"/>
          <w:szCs w:val="18"/>
          <w:lang w:eastAsia="pt-BR"/>
        </w:rPr>
        <w:t>ZEUa</w:t>
      </w:r>
      <w:proofErr w:type="spellEnd"/>
      <w:r w:rsidRPr="00AF3524">
        <w:rPr>
          <w:rFonts w:cs="Calibri"/>
          <w:bCs/>
          <w:sz w:val="18"/>
          <w:szCs w:val="18"/>
          <w:lang w:eastAsia="pt-BR"/>
        </w:rPr>
        <w:t xml:space="preserve">, ZEUP e </w:t>
      </w:r>
      <w:proofErr w:type="spellStart"/>
      <w:r w:rsidRPr="00AF3524">
        <w:rPr>
          <w:rFonts w:cs="Calibri"/>
          <w:bCs/>
          <w:sz w:val="18"/>
          <w:szCs w:val="18"/>
          <w:lang w:eastAsia="pt-BR"/>
        </w:rPr>
        <w:t>ZEUPa</w:t>
      </w:r>
      <w:proofErr w:type="spellEnd"/>
      <w:r>
        <w:rPr>
          <w:rFonts w:cs="Calibri"/>
          <w:bCs/>
          <w:sz w:val="18"/>
          <w:szCs w:val="18"/>
          <w:lang w:eastAsia="pt-BR"/>
        </w:rPr>
        <w:t>, ZEM, ZEMP</w:t>
      </w:r>
      <w:r w:rsidR="006C5E88">
        <w:rPr>
          <w:rFonts w:cs="Calibri"/>
          <w:bCs/>
          <w:sz w:val="18"/>
          <w:szCs w:val="18"/>
          <w:lang w:eastAsia="pt-BR"/>
        </w:rPr>
        <w:t xml:space="preserve"> e nos usos não residenciais em lotes com área inferior a 250m em todas as zonas.</w:t>
      </w:r>
    </w:p>
    <w:p w:rsidR="003E393E" w:rsidRPr="008471F6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b</w:t>
      </w:r>
      <w:r w:rsidRPr="00AF3524">
        <w:rPr>
          <w:rFonts w:cs="Calibri"/>
          <w:bCs/>
          <w:sz w:val="18"/>
          <w:szCs w:val="18"/>
          <w:lang w:eastAsia="pt-BR"/>
        </w:rPr>
        <w:t xml:space="preserve">) Incide sobre a </w:t>
      </w:r>
      <w:r>
        <w:rPr>
          <w:rFonts w:cs="Calibri"/>
          <w:bCs/>
          <w:sz w:val="18"/>
          <w:szCs w:val="18"/>
          <w:lang w:eastAsia="pt-BR"/>
        </w:rPr>
        <w:t xml:space="preserve"> porcentagem</w:t>
      </w:r>
      <w:r w:rsidRPr="00AF3524">
        <w:rPr>
          <w:rFonts w:cs="Calibri"/>
          <w:bCs/>
          <w:sz w:val="18"/>
          <w:szCs w:val="18"/>
          <w:lang w:eastAsia="pt-BR"/>
        </w:rPr>
        <w:t xml:space="preserve"> das vagas de </w:t>
      </w:r>
      <w:r>
        <w:rPr>
          <w:rFonts w:cs="Calibri"/>
          <w:bCs/>
          <w:sz w:val="18"/>
          <w:szCs w:val="18"/>
          <w:lang w:eastAsia="pt-BR"/>
        </w:rPr>
        <w:t>estacionamento</w:t>
      </w:r>
      <w:r w:rsidRPr="00AF3524">
        <w:rPr>
          <w:rFonts w:cs="Calibri"/>
          <w:bCs/>
          <w:sz w:val="18"/>
          <w:szCs w:val="18"/>
          <w:lang w:eastAsia="pt-BR"/>
        </w:rPr>
        <w:t xml:space="preserve"> adotadas no projeto.</w:t>
      </w:r>
      <w:r>
        <w:rPr>
          <w:rFonts w:cs="Calibri"/>
          <w:bCs/>
          <w:sz w:val="18"/>
          <w:szCs w:val="18"/>
          <w:lang w:eastAsia="pt-BR"/>
        </w:rPr>
        <w:t xml:space="preserve"> D: porcentagem de vagas para deficientes. I: porcentagem de vagas para idosos. </w:t>
      </w:r>
    </w:p>
    <w:p w:rsidR="003E393E" w:rsidRPr="00AF3524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c</w:t>
      </w:r>
      <w:r w:rsidRPr="00AF3524">
        <w:rPr>
          <w:rFonts w:cs="Calibri"/>
          <w:bCs/>
          <w:sz w:val="18"/>
          <w:szCs w:val="18"/>
          <w:lang w:eastAsia="pt-BR"/>
        </w:rPr>
        <w:t>) Vestiário com área mínima de 1,20m² para cada chuveiro instalado</w:t>
      </w:r>
      <w:r>
        <w:rPr>
          <w:rFonts w:cs="Calibri"/>
          <w:bCs/>
          <w:sz w:val="18"/>
          <w:szCs w:val="18"/>
          <w:lang w:eastAsia="pt-BR"/>
        </w:rPr>
        <w:t>,</w:t>
      </w:r>
      <w:r w:rsidRPr="00AF3524">
        <w:rPr>
          <w:rFonts w:cs="Calibri"/>
          <w:bCs/>
          <w:sz w:val="18"/>
          <w:szCs w:val="18"/>
          <w:lang w:eastAsia="pt-BR"/>
        </w:rPr>
        <w:t xml:space="preserve"> excetuada a área do próprio chuveiro, conforme Código de Obras e Edificações.</w:t>
      </w:r>
    </w:p>
    <w:p w:rsid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d</w:t>
      </w:r>
      <w:r w:rsidRPr="00AF3524">
        <w:rPr>
          <w:rFonts w:cs="Calibri"/>
          <w:bCs/>
          <w:sz w:val="18"/>
          <w:szCs w:val="18"/>
          <w:lang w:eastAsia="pt-BR"/>
        </w:rPr>
        <w:t xml:space="preserve">) </w:t>
      </w:r>
      <w:r>
        <w:rPr>
          <w:rFonts w:cs="Calibri"/>
          <w:bCs/>
          <w:sz w:val="18"/>
          <w:szCs w:val="18"/>
          <w:lang w:eastAsia="pt-BR"/>
        </w:rPr>
        <w:t xml:space="preserve">Não se exige vaga para carga e descarga nos lotes até </w:t>
      </w:r>
      <w:smartTag w:uri="urn:schemas-microsoft-com:office:smarttags" w:element="metricconverter">
        <w:smartTagPr>
          <w:attr w:name="ProductID" w:val="250 mﾲ"/>
        </w:smartTagPr>
        <w:r>
          <w:rPr>
            <w:rFonts w:cs="Calibri"/>
            <w:bCs/>
            <w:sz w:val="18"/>
            <w:szCs w:val="18"/>
            <w:lang w:eastAsia="pt-BR"/>
          </w:rPr>
          <w:t>250 m²</w:t>
        </w:r>
      </w:smartTag>
      <w:r>
        <w:rPr>
          <w:rFonts w:cs="Calibri"/>
          <w:bCs/>
          <w:sz w:val="18"/>
          <w:szCs w:val="18"/>
          <w:lang w:eastAsia="pt-BR"/>
        </w:rPr>
        <w:t xml:space="preserve"> (duzentos e cinquenta metros quadrados).</w:t>
      </w:r>
    </w:p>
    <w:p w:rsid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e) Incide sobre a porcentagem das vagas de estacionamento exigidas pelas demais leis.</w:t>
      </w:r>
    </w:p>
    <w:p w:rsidR="003E393E" w:rsidRP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 xml:space="preserve">f) </w:t>
      </w:r>
      <w:r w:rsidRPr="008471F6">
        <w:rPr>
          <w:rFonts w:cs="Calibri"/>
          <w:bCs/>
          <w:sz w:val="18"/>
          <w:szCs w:val="18"/>
          <w:lang w:eastAsia="pt-BR"/>
        </w:rPr>
        <w:t xml:space="preserve">Para empreendimento </w:t>
      </w:r>
      <w:r>
        <w:rPr>
          <w:rFonts w:cs="Calibri"/>
          <w:bCs/>
          <w:sz w:val="18"/>
          <w:szCs w:val="18"/>
          <w:lang w:eastAsia="pt-BR"/>
        </w:rPr>
        <w:t xml:space="preserve">não </w:t>
      </w:r>
      <w:r w:rsidRPr="003E393E">
        <w:rPr>
          <w:rFonts w:cs="Calibri"/>
          <w:bCs/>
          <w:sz w:val="18"/>
          <w:szCs w:val="18"/>
          <w:lang w:eastAsia="pt-BR"/>
        </w:rPr>
        <w:t>residenciais acima de 10.000m² de área construída computável, as vagas para caminhão devem ser compartilhadas com os ônibus fretados.</w:t>
      </w:r>
    </w:p>
    <w:p w:rsidR="003E393E" w:rsidRP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 xml:space="preserve">h) Permitida a instalação de equipamento de saúde em via com largura menos do que </w:t>
      </w:r>
      <w:smartTag w:uri="urn:schemas-microsoft-com:office:smarttags" w:element="metricconverter">
        <w:smartTagPr>
          <w:attr w:name="ProductID" w:val="12 m"/>
        </w:smartTagPr>
        <w:r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Pr="003E393E">
        <w:rPr>
          <w:rFonts w:cs="Calibri"/>
          <w:bCs/>
          <w:sz w:val="18"/>
          <w:szCs w:val="18"/>
          <w:lang w:eastAsia="pt-BR"/>
        </w:rPr>
        <w:t xml:space="preserve"> (doze metros), desde que a edificação esteja afastada a uma distância mínima de </w:t>
      </w:r>
      <w:smartTag w:uri="urn:schemas-microsoft-com:office:smarttags" w:element="metricconverter">
        <w:smartTagPr>
          <w:attr w:name="ProductID" w:val="12 m"/>
        </w:smartTagPr>
        <w:r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Pr="003E393E">
        <w:rPr>
          <w:rFonts w:cs="Calibri"/>
          <w:bCs/>
          <w:sz w:val="18"/>
          <w:szCs w:val="18"/>
          <w:lang w:eastAsia="pt-BR"/>
        </w:rPr>
        <w:t xml:space="preserve"> (doze metros) do eixo da rua e haja possibilidade de acessos secundários.</w:t>
      </w:r>
    </w:p>
    <w:p w:rsidR="003E393E" w:rsidRP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 xml:space="preserve">i) No mínimo uma vaga, mais uma vaga por fração de área construída computável. </w:t>
      </w:r>
    </w:p>
    <w:p w:rsidR="00612848" w:rsidRDefault="003E393E" w:rsidP="00AF3524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j) Conforme determina o artigo 83 desta lei, “</w:t>
      </w:r>
      <w:r w:rsidRPr="003E393E">
        <w:rPr>
          <w:rFonts w:cs="Calibri"/>
          <w:color w:val="000000"/>
          <w:sz w:val="18"/>
          <w:szCs w:val="18"/>
        </w:rPr>
        <w:t xml:space="preserve">Para HIS e HMP devem ser observadas as normas, índices e parâmetros definidos em decreto específico do Executivo, conforme disposições da </w:t>
      </w:r>
      <w:r w:rsidRPr="003E393E">
        <w:rPr>
          <w:sz w:val="18"/>
          <w:szCs w:val="18"/>
        </w:rPr>
        <w:t>Lei n. 16.050, de 2014 - PDE</w:t>
      </w:r>
      <w:r w:rsidRPr="003E393E">
        <w:rPr>
          <w:rFonts w:cs="Calibri"/>
          <w:color w:val="000000"/>
          <w:sz w:val="18"/>
          <w:szCs w:val="18"/>
        </w:rPr>
        <w:t>.</w:t>
      </w:r>
      <w:r w:rsidRPr="003E393E">
        <w:rPr>
          <w:rFonts w:cs="Calibri"/>
          <w:bCs/>
          <w:sz w:val="18"/>
          <w:szCs w:val="18"/>
          <w:lang w:eastAsia="pt-BR"/>
        </w:rPr>
        <w:t>”</w:t>
      </w:r>
      <w:r>
        <w:rPr>
          <w:rFonts w:cs="Calibri"/>
          <w:bCs/>
          <w:sz w:val="18"/>
          <w:szCs w:val="18"/>
          <w:lang w:eastAsia="pt-BR"/>
        </w:rPr>
        <w:t xml:space="preserve"> </w:t>
      </w:r>
    </w:p>
    <w:p w:rsidR="00612848" w:rsidRDefault="00612848" w:rsidP="00AF3524">
      <w:pPr>
        <w:rPr>
          <w:rFonts w:cs="Calibri"/>
          <w:bCs/>
          <w:sz w:val="18"/>
          <w:szCs w:val="18"/>
          <w:lang w:eastAsia="pt-BR"/>
        </w:rPr>
      </w:pPr>
    </w:p>
    <w:p w:rsidR="005C05DD" w:rsidRDefault="005C05DD" w:rsidP="00AF3524">
      <w:pPr>
        <w:rPr>
          <w:rFonts w:cs="Calibri"/>
          <w:bCs/>
          <w:sz w:val="18"/>
          <w:szCs w:val="18"/>
          <w:lang w:eastAsia="pt-BR"/>
        </w:rPr>
        <w:sectPr w:rsidR="005C05DD" w:rsidSect="00305B58">
          <w:headerReference w:type="default" r:id="rId9"/>
          <w:footerReference w:type="default" r:id="rId10"/>
          <w:pgSz w:w="16839" w:h="11907" w:orient="landscape" w:code="9"/>
          <w:pgMar w:top="720" w:right="953" w:bottom="720" w:left="720" w:header="510" w:footer="397" w:gutter="0"/>
          <w:cols w:space="708"/>
          <w:docGrid w:linePitch="299"/>
        </w:sectPr>
      </w:pPr>
    </w:p>
    <w:p w:rsidR="00706703" w:rsidRDefault="00706703" w:rsidP="00706703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4A </w:t>
      </w:r>
      <w:r w:rsidR="00666A6A"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Condiç</w:t>
      </w:r>
      <w:r w:rsidR="003F1614">
        <w:rPr>
          <w:rFonts w:cs="Calibri"/>
          <w:b/>
          <w:bCs/>
          <w:sz w:val="20"/>
          <w:szCs w:val="20"/>
          <w:lang w:eastAsia="pt-BR"/>
        </w:rPr>
        <w:t>ões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instalação por subcategoria de uso, grupos de atividade e usos específicos</w:t>
      </w:r>
      <w:r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| Folha </w:t>
      </w:r>
      <w:r w:rsidR="003E393E">
        <w:rPr>
          <w:rFonts w:cs="Calibri"/>
          <w:b/>
          <w:bCs/>
          <w:sz w:val="20"/>
          <w:szCs w:val="20"/>
          <w:lang w:eastAsia="pt-BR"/>
        </w:rPr>
        <w:t>3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 w:rsidR="003E393E">
        <w:rPr>
          <w:rFonts w:cs="Calibri"/>
          <w:b/>
          <w:bCs/>
          <w:sz w:val="20"/>
          <w:szCs w:val="20"/>
          <w:lang w:eastAsia="pt-BR"/>
        </w:rPr>
        <w:t>4</w:t>
      </w:r>
    </w:p>
    <w:p w:rsidR="003E393E" w:rsidRDefault="003E393E" w:rsidP="00706703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14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2835"/>
        <w:gridCol w:w="971"/>
        <w:gridCol w:w="1096"/>
        <w:gridCol w:w="811"/>
        <w:gridCol w:w="678"/>
        <w:gridCol w:w="677"/>
        <w:gridCol w:w="1079"/>
        <w:gridCol w:w="1212"/>
        <w:gridCol w:w="1346"/>
        <w:gridCol w:w="1051"/>
        <w:gridCol w:w="856"/>
      </w:tblGrid>
      <w:tr w:rsidR="00B358E7" w:rsidRPr="00BE20D9" w:rsidTr="003E393E">
        <w:trPr>
          <w:trHeight w:val="185"/>
        </w:trPr>
        <w:tc>
          <w:tcPr>
            <w:tcW w:w="757" w:type="dxa"/>
            <w:vMerge w:val="restart"/>
            <w:shd w:val="clear" w:color="auto" w:fill="C0C0C0"/>
            <w:vAlign w:val="center"/>
          </w:tcPr>
          <w:p w:rsidR="00E752F2" w:rsidRDefault="00B358E7" w:rsidP="00E752F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Sub</w:t>
            </w:r>
          </w:p>
          <w:p w:rsidR="00B358E7" w:rsidRPr="00BE20D9" w:rsidRDefault="00B358E7" w:rsidP="00E752F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categoria de Uso</w:t>
            </w:r>
          </w:p>
        </w:tc>
        <w:tc>
          <w:tcPr>
            <w:tcW w:w="758" w:type="dxa"/>
            <w:vMerge w:val="restart"/>
            <w:shd w:val="clear" w:color="auto" w:fill="C0C0C0"/>
            <w:vAlign w:val="center"/>
          </w:tcPr>
          <w:p w:rsidR="00B358E7" w:rsidRPr="00BE20D9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835" w:type="dxa"/>
            <w:vMerge w:val="restart"/>
            <w:shd w:val="clear" w:color="auto" w:fill="C0C0C0"/>
            <w:vAlign w:val="center"/>
          </w:tcPr>
          <w:p w:rsidR="00B358E7" w:rsidRPr="00BE20D9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3556" w:type="dxa"/>
            <w:gridSpan w:val="4"/>
            <w:vMerge w:val="restart"/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Número mínimo de vagas por área construída computável (em m²) (</w:t>
            </w:r>
            <w:r w:rsidR="00344C5A">
              <w:rPr>
                <w:rFonts w:cs="Calibri"/>
                <w:b/>
                <w:bCs/>
                <w:sz w:val="16"/>
                <w:szCs w:val="16"/>
                <w:lang w:eastAsia="pt-BR"/>
              </w:rPr>
              <w:t>a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Vestiário usuário bicicleta (</w:t>
            </w:r>
            <w:r w:rsidR="00344C5A">
              <w:rPr>
                <w:rFonts w:cs="Calibri"/>
                <w:b/>
                <w:bCs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637" w:type="dxa"/>
            <w:gridSpan w:val="3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Carga e Descarga (</w:t>
            </w:r>
            <w:r w:rsidR="00344C5A">
              <w:rPr>
                <w:rFonts w:cs="Calibri"/>
                <w:b/>
                <w:bCs/>
                <w:sz w:val="16"/>
                <w:szCs w:val="16"/>
                <w:lang w:eastAsia="pt-BR"/>
              </w:rPr>
              <w:t>d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1" w:type="dxa"/>
            <w:vMerge w:val="restart"/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Embarque e Desembarque</w:t>
            </w:r>
          </w:p>
        </w:tc>
        <w:tc>
          <w:tcPr>
            <w:tcW w:w="856" w:type="dxa"/>
            <w:vMerge w:val="restart"/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Largura de via</w:t>
            </w:r>
          </w:p>
        </w:tc>
      </w:tr>
      <w:tr w:rsidR="00B358E7" w:rsidRPr="00BE20D9" w:rsidTr="003E393E">
        <w:trPr>
          <w:trHeight w:val="120"/>
        </w:trPr>
        <w:tc>
          <w:tcPr>
            <w:tcW w:w="757" w:type="dxa"/>
            <w:vMerge/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vMerge/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vMerge/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56" w:type="dxa"/>
            <w:gridSpan w:val="4"/>
            <w:vMerge/>
            <w:vAlign w:val="center"/>
          </w:tcPr>
          <w:p w:rsidR="00B358E7" w:rsidRPr="00D137A0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  <w:vMerge/>
            <w:tcBorders>
              <w:right w:val="single" w:sz="12" w:space="0" w:color="auto"/>
            </w:tcBorders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B358E7" w:rsidRPr="00BE20D9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utilitário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caminhão</w:t>
            </w:r>
          </w:p>
        </w:tc>
        <w:tc>
          <w:tcPr>
            <w:tcW w:w="1051" w:type="dxa"/>
            <w:vMerge/>
            <w:vAlign w:val="center"/>
          </w:tcPr>
          <w:p w:rsidR="00B358E7" w:rsidRPr="00D137A0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vAlign w:val="center"/>
          </w:tcPr>
          <w:p w:rsidR="00B358E7" w:rsidRPr="00D137A0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358E7" w:rsidRPr="00BE20D9" w:rsidTr="003E393E">
        <w:trPr>
          <w:trHeight w:val="615"/>
        </w:trPr>
        <w:tc>
          <w:tcPr>
            <w:tcW w:w="757" w:type="dxa"/>
            <w:vMerge/>
            <w:tcBorders>
              <w:bottom w:val="single" w:sz="12" w:space="0" w:color="auto"/>
            </w:tcBorders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vMerge/>
            <w:tcBorders>
              <w:bottom w:val="single" w:sz="12" w:space="0" w:color="auto"/>
            </w:tcBorders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Automóveis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especiais </w:t>
            </w:r>
          </w:p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(D + I)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 motos 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bicicletas </w:t>
            </w: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8E7" w:rsidRPr="00BE20D9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58E7" w:rsidRPr="00D137A0" w:rsidRDefault="00B358E7" w:rsidP="00553B89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Acima de 4.000m²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 (</w:t>
            </w:r>
            <w:r w:rsidR="00344C5A">
              <w:rPr>
                <w:rFonts w:cs="Calibri"/>
                <w:b/>
                <w:bCs/>
                <w:sz w:val="16"/>
                <w:szCs w:val="16"/>
                <w:lang w:eastAsia="pt-BR"/>
              </w:rPr>
              <w:t>f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1" w:type="dxa"/>
            <w:vMerge/>
            <w:tcBorders>
              <w:bottom w:val="single" w:sz="12" w:space="0" w:color="auto"/>
            </w:tcBorders>
            <w:vAlign w:val="center"/>
          </w:tcPr>
          <w:p w:rsidR="00B358E7" w:rsidRPr="00D137A0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vAlign w:val="center"/>
          </w:tcPr>
          <w:p w:rsidR="00B358E7" w:rsidRPr="00D137A0" w:rsidRDefault="00B358E7" w:rsidP="00553B89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10919" w:rsidRPr="00BE20D9" w:rsidTr="003E393E">
        <w:trPr>
          <w:trHeight w:val="145"/>
        </w:trPr>
        <w:tc>
          <w:tcPr>
            <w:tcW w:w="75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nR2 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F80487" w:rsidRDefault="00410919" w:rsidP="00830BC0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3E393E" w:rsidRDefault="00410919" w:rsidP="00830BC0">
            <w:pPr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Comércio de alimentação de médio porte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FFFFFF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553EF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FFFFF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D157D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D157D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ED157D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ED157D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ED157D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≥10m</w:t>
            </w:r>
          </w:p>
        </w:tc>
      </w:tr>
      <w:tr w:rsidR="00410919" w:rsidRPr="00BE20D9" w:rsidTr="003E393E">
        <w:trPr>
          <w:trHeight w:val="145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F80487" w:rsidRDefault="00410919" w:rsidP="00830BC0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3E393E" w:rsidRDefault="00410919" w:rsidP="00830BC0">
            <w:pPr>
              <w:jc w:val="left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Comércio especializado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FFFFFF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553EFE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FFFFF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ED157D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D157D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ED157D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ED157D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ED157D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≥10m</w:t>
            </w:r>
          </w:p>
        </w:tc>
      </w:tr>
      <w:tr w:rsidR="00410919" w:rsidRPr="00BE20D9" w:rsidTr="003E393E">
        <w:trPr>
          <w:trHeight w:val="145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nR2-3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3E393E" w:rsidRDefault="00410919" w:rsidP="00830BC0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sz w:val="16"/>
                <w:szCs w:val="16"/>
                <w:lang w:eastAsia="pt-BR"/>
              </w:rPr>
              <w:t xml:space="preserve">Comércio de Abastecimento de médio porte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(D:10%;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12m</w:t>
            </w:r>
          </w:p>
        </w:tc>
      </w:tr>
      <w:tr w:rsidR="003E393E" w:rsidRPr="00BE20D9" w:rsidTr="003E393E">
        <w:trPr>
          <w:trHeight w:val="87"/>
        </w:trPr>
        <w:tc>
          <w:tcPr>
            <w:tcW w:w="757" w:type="dxa"/>
            <w:vMerge/>
            <w:shd w:val="clear" w:color="auto" w:fill="FFFFFF"/>
            <w:vAlign w:val="center"/>
          </w:tcPr>
          <w:p w:rsidR="003E393E" w:rsidRPr="00BE20D9" w:rsidRDefault="003E393E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E393E" w:rsidRPr="00BE20D9" w:rsidRDefault="003E393E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93E" w:rsidRPr="003E393E" w:rsidRDefault="003E393E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 xml:space="preserve">Oficinas 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8D383D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37D32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37D32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37D32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37D32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37D32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3E393E" w:rsidRPr="00D137A0" w:rsidRDefault="003E393E" w:rsidP="003E393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≥10m</w:t>
            </w:r>
          </w:p>
        </w:tc>
      </w:tr>
      <w:tr w:rsidR="003E393E" w:rsidRPr="00BE20D9" w:rsidTr="003E393E">
        <w:trPr>
          <w:trHeight w:val="83"/>
        </w:trPr>
        <w:tc>
          <w:tcPr>
            <w:tcW w:w="757" w:type="dxa"/>
            <w:vMerge/>
            <w:shd w:val="clear" w:color="auto" w:fill="FFFFFF"/>
            <w:vAlign w:val="center"/>
          </w:tcPr>
          <w:p w:rsidR="003E393E" w:rsidRPr="00BE20D9" w:rsidRDefault="003E393E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E393E" w:rsidRDefault="003E393E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93E" w:rsidRPr="003E393E" w:rsidRDefault="003E393E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Serviços de saúde de médio porte</w:t>
            </w: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3E393E">
        <w:trPr>
          <w:trHeight w:val="83"/>
        </w:trPr>
        <w:tc>
          <w:tcPr>
            <w:tcW w:w="757" w:type="dxa"/>
            <w:vMerge/>
            <w:shd w:val="clear" w:color="auto" w:fill="FFFFFF"/>
            <w:vAlign w:val="center"/>
          </w:tcPr>
          <w:p w:rsidR="003E393E" w:rsidRPr="00BE20D9" w:rsidRDefault="003E393E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E393E" w:rsidRDefault="003E393E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93E" w:rsidRPr="003E393E" w:rsidRDefault="003E393E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Estabelecimentos de ensino seriado</w:t>
            </w: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3E393E" w:rsidRPr="00BE20D9" w:rsidTr="003E393E">
        <w:trPr>
          <w:trHeight w:val="83"/>
        </w:trPr>
        <w:tc>
          <w:tcPr>
            <w:tcW w:w="757" w:type="dxa"/>
            <w:vMerge/>
            <w:shd w:val="clear" w:color="auto" w:fill="FFFFFF"/>
            <w:vAlign w:val="center"/>
          </w:tcPr>
          <w:p w:rsidR="003E393E" w:rsidRPr="00BE20D9" w:rsidRDefault="003E393E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E393E" w:rsidRDefault="003E393E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93E" w:rsidRPr="003E393E" w:rsidRDefault="003E393E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Estabelecimentos de ensino não seriado</w:t>
            </w: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3E393E" w:rsidRPr="00D137A0" w:rsidRDefault="003E393E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</w:tr>
      <w:tr w:rsidR="00410919" w:rsidRPr="00BE20D9" w:rsidTr="003E393E">
        <w:trPr>
          <w:trHeight w:val="83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410919" w:rsidRPr="00BE20D9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nR2-8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0919" w:rsidRPr="003E393E" w:rsidRDefault="00410919" w:rsidP="00830BC0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sz w:val="16"/>
                <w:szCs w:val="16"/>
                <w:lang w:eastAsia="pt-BR"/>
              </w:rPr>
              <w:t>Serviços públicos sociais de médio porte</w:t>
            </w:r>
          </w:p>
        </w:tc>
        <w:tc>
          <w:tcPr>
            <w:tcW w:w="971" w:type="dxa"/>
            <w:shd w:val="clear" w:color="auto" w:fill="FFFFFF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692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2 vagas</w:t>
            </w:r>
          </w:p>
        </w:tc>
        <w:tc>
          <w:tcPr>
            <w:tcW w:w="811" w:type="dxa"/>
            <w:shd w:val="clear" w:color="auto" w:fill="FFFFFF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04EB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6491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0461E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12" w:type="dxa"/>
            <w:shd w:val="clear" w:color="auto" w:fill="FFFFFF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42BD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51" w:type="dxa"/>
            <w:shd w:val="clear" w:color="auto" w:fill="FFFFFF"/>
          </w:tcPr>
          <w:p w:rsidR="00410919" w:rsidRPr="00D137A0" w:rsidRDefault="00410919" w:rsidP="00830BC0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D1D7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10919" w:rsidRPr="00D137A0" w:rsidRDefault="00410919" w:rsidP="0012267E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≥ </w:t>
            </w:r>
            <w:r>
              <w:rPr>
                <w:rFonts w:cs="Calibri"/>
                <w:sz w:val="16"/>
                <w:szCs w:val="16"/>
                <w:lang w:eastAsia="pt-BR"/>
              </w:rPr>
              <w:t xml:space="preserve">8 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m</w:t>
            </w:r>
          </w:p>
        </w:tc>
      </w:tr>
      <w:tr w:rsidR="00410919" w:rsidRPr="00BE20D9" w:rsidTr="003E393E">
        <w:trPr>
          <w:trHeight w:val="129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410919" w:rsidRPr="00BE20D9" w:rsidRDefault="00410919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nR2-9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0919" w:rsidRPr="003E393E" w:rsidRDefault="00410919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sz w:val="16"/>
                <w:szCs w:val="16"/>
                <w:lang w:eastAsia="pt-BR"/>
              </w:rPr>
              <w:t>Serviços da administração e serviços públicos de médio porte</w:t>
            </w:r>
          </w:p>
        </w:tc>
        <w:tc>
          <w:tcPr>
            <w:tcW w:w="971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7692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2 vagas</w:t>
            </w:r>
          </w:p>
        </w:tc>
        <w:tc>
          <w:tcPr>
            <w:tcW w:w="811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04EB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2F6491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0461E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12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42BD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51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D1D7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10m</w:t>
            </w:r>
          </w:p>
        </w:tc>
      </w:tr>
      <w:tr w:rsidR="00410919" w:rsidRPr="00BE20D9" w:rsidTr="003E393E">
        <w:trPr>
          <w:trHeight w:val="128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410919" w:rsidRDefault="00410919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0919" w:rsidRPr="003E393E" w:rsidRDefault="00410919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Serviços de lazer, cultura e esportes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16CA3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4A6D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14A6D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414A6D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414A6D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414A6D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≥10m</w:t>
            </w:r>
          </w:p>
        </w:tc>
      </w:tr>
      <w:tr w:rsidR="00410919" w:rsidRPr="00BE20D9" w:rsidTr="003E393E">
        <w:trPr>
          <w:trHeight w:val="128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410919" w:rsidRDefault="00410919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0919" w:rsidRPr="003E393E" w:rsidRDefault="00410919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Local de reunião ou eventos de médio porte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(D:5%; I:5%)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rFonts w:cs="Calibri"/>
                <w:sz w:val="16"/>
                <w:szCs w:val="16"/>
                <w:lang w:eastAsia="pt-BR"/>
              </w:rPr>
              <w:t xml:space="preserve"> (i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C16CA3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14A6D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14A6D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414A6D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414A6D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414A6D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≥10m</w:t>
            </w:r>
          </w:p>
        </w:tc>
      </w:tr>
      <w:tr w:rsidR="00410919" w:rsidRPr="00BE20D9" w:rsidTr="003E393E">
        <w:trPr>
          <w:trHeight w:val="130"/>
        </w:trPr>
        <w:tc>
          <w:tcPr>
            <w:tcW w:w="757" w:type="dxa"/>
            <w:vMerge/>
            <w:shd w:val="clear" w:color="auto" w:fill="FFFFFF"/>
            <w:vAlign w:val="center"/>
          </w:tcPr>
          <w:p w:rsidR="00410919" w:rsidRPr="00BE20D9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410919" w:rsidRPr="00BE20D9" w:rsidRDefault="00410919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nR2-12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0919" w:rsidRPr="003E393E" w:rsidRDefault="00410919" w:rsidP="008B627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sz w:val="16"/>
                <w:szCs w:val="16"/>
                <w:lang w:eastAsia="pt-BR"/>
              </w:rPr>
              <w:t>Serviços de armazenamento e guarda de bens móveis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1/75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410919" w:rsidRPr="00D137A0" w:rsidRDefault="00410919" w:rsidP="00FF54B7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410919" w:rsidRPr="00D137A0" w:rsidRDefault="00410919" w:rsidP="008B627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12m</w:t>
            </w:r>
          </w:p>
        </w:tc>
      </w:tr>
      <w:tr w:rsidR="00410919" w:rsidRPr="00BE20D9" w:rsidTr="003E393E">
        <w:trPr>
          <w:trHeight w:val="193"/>
        </w:trPr>
        <w:tc>
          <w:tcPr>
            <w:tcW w:w="75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BE20D9" w:rsidRDefault="00410919" w:rsidP="0045670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80487">
              <w:rPr>
                <w:rFonts w:cs="Calibri"/>
                <w:b/>
                <w:bCs/>
                <w:sz w:val="16"/>
                <w:szCs w:val="16"/>
                <w:lang w:eastAsia="pt-BR"/>
              </w:rPr>
              <w:t>nR2-13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3E393E" w:rsidRDefault="00410919" w:rsidP="00553B89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3E393E">
              <w:rPr>
                <w:rFonts w:cs="Calibri"/>
                <w:bCs/>
                <w:sz w:val="16"/>
                <w:szCs w:val="16"/>
                <w:lang w:eastAsia="pt-BR"/>
              </w:rPr>
              <w:t>Edifícios garagem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1/50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FFFFF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A1B9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A1B9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A1B9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A1B9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A1B99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10919" w:rsidRPr="00D137A0" w:rsidRDefault="00410919" w:rsidP="00553B8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≥10m</w:t>
            </w:r>
          </w:p>
        </w:tc>
      </w:tr>
    </w:tbl>
    <w:p w:rsidR="003E393E" w:rsidRDefault="003E393E" w:rsidP="00706703">
      <w:pPr>
        <w:rPr>
          <w:rFonts w:cs="Calibri"/>
          <w:bCs/>
          <w:sz w:val="18"/>
          <w:szCs w:val="18"/>
          <w:lang w:eastAsia="pt-BR"/>
        </w:rPr>
      </w:pPr>
    </w:p>
    <w:p w:rsidR="00706703" w:rsidRPr="00F80487" w:rsidRDefault="00706703" w:rsidP="00706703">
      <w:pPr>
        <w:rPr>
          <w:rFonts w:cs="Calibri"/>
          <w:bCs/>
          <w:sz w:val="18"/>
          <w:szCs w:val="18"/>
          <w:lang w:eastAsia="pt-BR"/>
        </w:rPr>
      </w:pPr>
      <w:r w:rsidRPr="00F80487">
        <w:rPr>
          <w:rFonts w:cs="Calibri"/>
          <w:bCs/>
          <w:sz w:val="18"/>
          <w:szCs w:val="18"/>
          <w:lang w:eastAsia="pt-BR"/>
        </w:rPr>
        <w:t xml:space="preserve">Notas: </w:t>
      </w:r>
    </w:p>
    <w:p w:rsidR="00706703" w:rsidRPr="00F80487" w:rsidRDefault="00706703" w:rsidP="00706703">
      <w:pPr>
        <w:rPr>
          <w:rFonts w:cs="Calibri"/>
          <w:bCs/>
          <w:sz w:val="18"/>
          <w:szCs w:val="18"/>
          <w:lang w:eastAsia="pt-BR"/>
        </w:rPr>
      </w:pPr>
      <w:r w:rsidRPr="00F80487">
        <w:rPr>
          <w:rFonts w:cs="Calibri"/>
          <w:bCs/>
          <w:sz w:val="18"/>
          <w:szCs w:val="18"/>
          <w:lang w:eastAsia="pt-BR"/>
        </w:rPr>
        <w:t>NA = Não se aplica</w:t>
      </w:r>
    </w:p>
    <w:p w:rsidR="00706703" w:rsidRPr="00F80487" w:rsidRDefault="00344C5A" w:rsidP="00706703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a</w:t>
      </w:r>
      <w:r w:rsidR="00706703" w:rsidRPr="00F80487">
        <w:rPr>
          <w:rFonts w:cs="Calibri"/>
          <w:bCs/>
          <w:sz w:val="18"/>
          <w:szCs w:val="18"/>
          <w:lang w:eastAsia="pt-BR"/>
        </w:rPr>
        <w:t>) Vaga por metro quadrado de área construída computável. Não</w:t>
      </w:r>
      <w:r w:rsidR="00290177">
        <w:rPr>
          <w:rFonts w:cs="Calibri"/>
          <w:bCs/>
          <w:sz w:val="18"/>
          <w:szCs w:val="18"/>
          <w:lang w:eastAsia="pt-BR"/>
        </w:rPr>
        <w:t xml:space="preserve"> se aplica nas zonas de uso ZEU</w:t>
      </w:r>
      <w:r w:rsidR="00706703" w:rsidRPr="00F80487">
        <w:rPr>
          <w:rFonts w:cs="Calibri"/>
          <w:bCs/>
          <w:sz w:val="18"/>
          <w:szCs w:val="18"/>
          <w:lang w:eastAsia="pt-BR"/>
        </w:rPr>
        <w:t xml:space="preserve">, </w:t>
      </w:r>
      <w:proofErr w:type="spellStart"/>
      <w:r w:rsidR="00706703" w:rsidRPr="00F80487">
        <w:rPr>
          <w:rFonts w:cs="Calibri"/>
          <w:bCs/>
          <w:sz w:val="18"/>
          <w:szCs w:val="18"/>
          <w:lang w:eastAsia="pt-BR"/>
        </w:rPr>
        <w:t>ZEUa</w:t>
      </w:r>
      <w:proofErr w:type="spellEnd"/>
      <w:r w:rsidR="00706703" w:rsidRPr="00F80487">
        <w:rPr>
          <w:rFonts w:cs="Calibri"/>
          <w:bCs/>
          <w:sz w:val="18"/>
          <w:szCs w:val="18"/>
          <w:lang w:eastAsia="pt-BR"/>
        </w:rPr>
        <w:t xml:space="preserve">, ZEUP e </w:t>
      </w:r>
      <w:proofErr w:type="spellStart"/>
      <w:r w:rsidR="00706703" w:rsidRPr="00F80487">
        <w:rPr>
          <w:rFonts w:cs="Calibri"/>
          <w:bCs/>
          <w:sz w:val="18"/>
          <w:szCs w:val="18"/>
          <w:lang w:eastAsia="pt-BR"/>
        </w:rPr>
        <w:t>ZEUPa</w:t>
      </w:r>
      <w:proofErr w:type="spellEnd"/>
      <w:r w:rsidR="00706703" w:rsidRPr="00F80487">
        <w:rPr>
          <w:rFonts w:cs="Calibri"/>
          <w:bCs/>
          <w:sz w:val="18"/>
          <w:szCs w:val="18"/>
          <w:lang w:eastAsia="pt-BR"/>
        </w:rPr>
        <w:t>, ZEM, ZEMP</w:t>
      </w:r>
      <w:r w:rsidR="006C5E88">
        <w:rPr>
          <w:rFonts w:cs="Calibri"/>
          <w:bCs/>
          <w:sz w:val="18"/>
          <w:szCs w:val="18"/>
          <w:lang w:eastAsia="pt-BR"/>
        </w:rPr>
        <w:t xml:space="preserve"> e nos usos não residenciais em lotes com área inferior a 250m em todas as zonas.</w:t>
      </w:r>
    </w:p>
    <w:p w:rsidR="00706703" w:rsidRPr="00F80487" w:rsidRDefault="00344C5A" w:rsidP="00706703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b</w:t>
      </w:r>
      <w:r w:rsidR="00706703" w:rsidRPr="00F80487">
        <w:rPr>
          <w:rFonts w:cs="Calibri"/>
          <w:bCs/>
          <w:sz w:val="18"/>
          <w:szCs w:val="18"/>
          <w:lang w:eastAsia="pt-BR"/>
        </w:rPr>
        <w:t xml:space="preserve">) Incide sobre a  porcentagem das vagas de estacionamento adotadas no projeto. D: porcentagem de vagas para deficientes. I: porcentagem de vagas para idosos. </w:t>
      </w:r>
    </w:p>
    <w:p w:rsidR="00706703" w:rsidRPr="00F80487" w:rsidRDefault="00344C5A" w:rsidP="00706703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c</w:t>
      </w:r>
      <w:r w:rsidR="00706703" w:rsidRPr="00F80487">
        <w:rPr>
          <w:rFonts w:cs="Calibri"/>
          <w:bCs/>
          <w:sz w:val="18"/>
          <w:szCs w:val="18"/>
          <w:lang w:eastAsia="pt-BR"/>
        </w:rPr>
        <w:t>) Vestiário com área mínima de 1,20m² para cada chuveiro instalado, excetuada a área do próprio chuveiro, conforme Código de Obras e Edificações.</w:t>
      </w:r>
    </w:p>
    <w:p w:rsidR="00706703" w:rsidRPr="00F80487" w:rsidRDefault="00344C5A" w:rsidP="00706703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d</w:t>
      </w:r>
      <w:r w:rsidR="00706703" w:rsidRPr="00F80487">
        <w:rPr>
          <w:rFonts w:cs="Calibri"/>
          <w:bCs/>
          <w:sz w:val="18"/>
          <w:szCs w:val="18"/>
          <w:lang w:eastAsia="pt-BR"/>
        </w:rPr>
        <w:t xml:space="preserve">) Não se exige vaga para carga e descarga nos lotes até </w:t>
      </w:r>
      <w:smartTag w:uri="urn:schemas-microsoft-com:office:smarttags" w:element="metricconverter">
        <w:smartTagPr>
          <w:attr w:name="ProductID" w:val="250 mﾲ"/>
        </w:smartTagPr>
        <w:r w:rsidR="00706703" w:rsidRPr="00F80487">
          <w:rPr>
            <w:rFonts w:cs="Calibri"/>
            <w:bCs/>
            <w:sz w:val="18"/>
            <w:szCs w:val="18"/>
            <w:lang w:eastAsia="pt-BR"/>
          </w:rPr>
          <w:t>250 m²</w:t>
        </w:r>
      </w:smartTag>
      <w:r w:rsidR="00706703" w:rsidRPr="00F80487">
        <w:rPr>
          <w:rFonts w:cs="Calibri"/>
          <w:bCs/>
          <w:sz w:val="18"/>
          <w:szCs w:val="18"/>
          <w:lang w:eastAsia="pt-BR"/>
        </w:rPr>
        <w:t xml:space="preserve"> (duzentos e cinquenta metros quadrados).</w:t>
      </w:r>
    </w:p>
    <w:p w:rsidR="00706703" w:rsidRPr="00F80487" w:rsidRDefault="00344C5A" w:rsidP="00706703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e</w:t>
      </w:r>
      <w:r w:rsidR="00706703" w:rsidRPr="00F80487">
        <w:rPr>
          <w:rFonts w:cs="Calibri"/>
          <w:bCs/>
          <w:sz w:val="18"/>
          <w:szCs w:val="18"/>
          <w:lang w:eastAsia="pt-BR"/>
        </w:rPr>
        <w:t>) Incide sobre a porcentagem das vagas de estacionamento exigidas pelas demais leis.</w:t>
      </w:r>
    </w:p>
    <w:p w:rsidR="00706703" w:rsidRPr="003E393E" w:rsidRDefault="00344C5A" w:rsidP="00706703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f</w:t>
      </w:r>
      <w:r w:rsidR="00706703" w:rsidRPr="00F80487">
        <w:rPr>
          <w:rFonts w:cs="Calibri"/>
          <w:bCs/>
          <w:sz w:val="18"/>
          <w:szCs w:val="18"/>
          <w:lang w:eastAsia="pt-BR"/>
        </w:rPr>
        <w:t xml:space="preserve">) Para </w:t>
      </w:r>
      <w:r w:rsidR="00706703" w:rsidRPr="003E393E">
        <w:rPr>
          <w:rFonts w:cs="Calibri"/>
          <w:bCs/>
          <w:sz w:val="18"/>
          <w:szCs w:val="18"/>
          <w:lang w:eastAsia="pt-BR"/>
        </w:rPr>
        <w:t>empreendimento não residenciais acima de 10.000m² de área construída computável, as vagas para caminhão devem ser compartilhadas com os ônibus fretados.</w:t>
      </w:r>
    </w:p>
    <w:p w:rsidR="00706703" w:rsidRPr="003E393E" w:rsidRDefault="0012267E" w:rsidP="00706703">
      <w:pPr>
        <w:rPr>
          <w:rFonts w:cs="Calibri"/>
          <w:bCs/>
          <w:sz w:val="18"/>
          <w:szCs w:val="18"/>
          <w:lang w:eastAsia="pt-BR"/>
        </w:rPr>
      </w:pPr>
      <w:r w:rsidRPr="003E393E" w:rsidDel="0012267E">
        <w:rPr>
          <w:rFonts w:cs="Calibri"/>
          <w:bCs/>
          <w:sz w:val="18"/>
          <w:szCs w:val="18"/>
          <w:lang w:eastAsia="pt-BR"/>
        </w:rPr>
        <w:t xml:space="preserve"> </w:t>
      </w:r>
      <w:r w:rsidR="00344C5A" w:rsidRPr="003E393E">
        <w:rPr>
          <w:rFonts w:cs="Calibri"/>
          <w:bCs/>
          <w:sz w:val="18"/>
          <w:szCs w:val="18"/>
          <w:lang w:eastAsia="pt-BR"/>
        </w:rPr>
        <w:t>h</w:t>
      </w:r>
      <w:r w:rsidR="00706703" w:rsidRPr="003E393E">
        <w:rPr>
          <w:rFonts w:cs="Calibri"/>
          <w:bCs/>
          <w:sz w:val="18"/>
          <w:szCs w:val="18"/>
          <w:lang w:eastAsia="pt-BR"/>
        </w:rPr>
        <w:t xml:space="preserve">) Permitida a instalação de equipamento de saúde em via com largura menos do que </w:t>
      </w:r>
      <w:smartTag w:uri="urn:schemas-microsoft-com:office:smarttags" w:element="metricconverter">
        <w:smartTagPr>
          <w:attr w:name="ProductID" w:val="12 m"/>
        </w:smartTagPr>
        <w:r w:rsidR="00706703"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="00706703" w:rsidRPr="003E393E">
        <w:rPr>
          <w:rFonts w:cs="Calibri"/>
          <w:bCs/>
          <w:sz w:val="18"/>
          <w:szCs w:val="18"/>
          <w:lang w:eastAsia="pt-BR"/>
        </w:rPr>
        <w:t xml:space="preserve"> (doze metros), desde que a edificação esteja afastada a uma distância mínima de </w:t>
      </w:r>
      <w:smartTag w:uri="urn:schemas-microsoft-com:office:smarttags" w:element="metricconverter">
        <w:smartTagPr>
          <w:attr w:name="ProductID" w:val="12 m"/>
        </w:smartTagPr>
        <w:r w:rsidR="00706703"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="00706703" w:rsidRPr="003E393E">
        <w:rPr>
          <w:rFonts w:cs="Calibri"/>
          <w:bCs/>
          <w:sz w:val="18"/>
          <w:szCs w:val="18"/>
          <w:lang w:eastAsia="pt-BR"/>
        </w:rPr>
        <w:t xml:space="preserve"> (doze metros) do eixo da rua e haja possibilidade de acessos secundários.</w:t>
      </w:r>
    </w:p>
    <w:p w:rsidR="00706703" w:rsidRPr="003E393E" w:rsidRDefault="00344C5A" w:rsidP="00706703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i</w:t>
      </w:r>
      <w:r w:rsidR="00706703" w:rsidRPr="003E393E">
        <w:rPr>
          <w:rFonts w:cs="Calibri"/>
          <w:bCs/>
          <w:sz w:val="18"/>
          <w:szCs w:val="18"/>
          <w:lang w:eastAsia="pt-BR"/>
        </w:rPr>
        <w:t xml:space="preserve">) No mínimo uma vaga, mais uma vaga por fração de área construída computável. </w:t>
      </w:r>
    </w:p>
    <w:p w:rsidR="003E393E" w:rsidRDefault="00344C5A" w:rsidP="00344C5A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 xml:space="preserve">j) Conforme determina o artigo </w:t>
      </w:r>
      <w:r w:rsidR="003153B4" w:rsidRPr="003E393E">
        <w:rPr>
          <w:rFonts w:cs="Calibri"/>
          <w:bCs/>
          <w:sz w:val="18"/>
          <w:szCs w:val="18"/>
          <w:lang w:eastAsia="pt-BR"/>
        </w:rPr>
        <w:t>83</w:t>
      </w:r>
      <w:r w:rsidRPr="003E393E">
        <w:rPr>
          <w:rFonts w:cs="Calibri"/>
          <w:bCs/>
          <w:sz w:val="18"/>
          <w:szCs w:val="18"/>
          <w:lang w:eastAsia="pt-BR"/>
        </w:rPr>
        <w:t xml:space="preserve"> desta lei, “</w:t>
      </w:r>
      <w:r w:rsidRPr="003E393E">
        <w:rPr>
          <w:rFonts w:cs="Calibri"/>
          <w:color w:val="000000"/>
          <w:sz w:val="18"/>
          <w:szCs w:val="18"/>
        </w:rPr>
        <w:t xml:space="preserve">Para HIS e HMP devem ser observadas as normas, índices e parâmetros definidos em decreto específico do Executivo, conforme disposições da </w:t>
      </w:r>
      <w:r w:rsidRPr="003E393E">
        <w:rPr>
          <w:sz w:val="18"/>
          <w:szCs w:val="18"/>
        </w:rPr>
        <w:t>Lei n. 16.050, de 2014 - PDE</w:t>
      </w:r>
      <w:r w:rsidRPr="003E393E">
        <w:rPr>
          <w:rFonts w:cs="Calibri"/>
          <w:color w:val="000000"/>
          <w:sz w:val="18"/>
          <w:szCs w:val="18"/>
        </w:rPr>
        <w:t>.</w:t>
      </w:r>
      <w:r w:rsidRPr="003E393E">
        <w:rPr>
          <w:rFonts w:cs="Calibri"/>
          <w:bCs/>
          <w:sz w:val="18"/>
          <w:szCs w:val="18"/>
          <w:lang w:eastAsia="pt-BR"/>
        </w:rPr>
        <w:t>”</w:t>
      </w:r>
    </w:p>
    <w:p w:rsidR="003E393E" w:rsidRDefault="00344C5A" w:rsidP="00344C5A">
      <w:pPr>
        <w:rPr>
          <w:rFonts w:cs="Calibri"/>
          <w:bCs/>
          <w:sz w:val="18"/>
          <w:szCs w:val="18"/>
          <w:lang w:eastAsia="pt-BR"/>
        </w:rPr>
        <w:sectPr w:rsidR="003E393E" w:rsidSect="00305B58">
          <w:pgSz w:w="16839" w:h="11907" w:orient="landscape" w:code="9"/>
          <w:pgMar w:top="720" w:right="953" w:bottom="720" w:left="720" w:header="510" w:footer="397" w:gutter="0"/>
          <w:cols w:space="708"/>
          <w:docGrid w:linePitch="299"/>
        </w:sectPr>
      </w:pPr>
      <w:r>
        <w:rPr>
          <w:rFonts w:cs="Calibri"/>
          <w:bCs/>
          <w:sz w:val="18"/>
          <w:szCs w:val="18"/>
          <w:lang w:eastAsia="pt-BR"/>
        </w:rPr>
        <w:t xml:space="preserve"> </w:t>
      </w:r>
    </w:p>
    <w:p w:rsidR="003E393E" w:rsidRDefault="003E393E" w:rsidP="003E393E">
      <w:pPr>
        <w:rPr>
          <w:rFonts w:cs="Calibri"/>
          <w:b/>
          <w:bCs/>
          <w:sz w:val="20"/>
          <w:szCs w:val="20"/>
          <w:lang w:eastAsia="pt-BR"/>
        </w:rPr>
      </w:pPr>
      <w:r w:rsidRPr="006E636F">
        <w:rPr>
          <w:rFonts w:cs="Calibri"/>
          <w:b/>
          <w:bCs/>
          <w:sz w:val="20"/>
          <w:szCs w:val="20"/>
          <w:lang w:eastAsia="pt-BR"/>
        </w:rPr>
        <w:t xml:space="preserve">Quadro 4A </w:t>
      </w:r>
      <w:r>
        <w:rPr>
          <w:rFonts w:cs="Calibri"/>
          <w:b/>
          <w:bCs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Condiç</w:t>
      </w:r>
      <w:r>
        <w:rPr>
          <w:rFonts w:cs="Calibri"/>
          <w:b/>
          <w:bCs/>
          <w:sz w:val="20"/>
          <w:szCs w:val="20"/>
          <w:lang w:eastAsia="pt-BR"/>
        </w:rPr>
        <w:t>ões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instalação por subcategoria de uso, grupos de atividade e usos específicos</w:t>
      </w:r>
      <w:r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| Folha </w:t>
      </w:r>
      <w:r>
        <w:rPr>
          <w:rFonts w:cs="Calibri"/>
          <w:b/>
          <w:bCs/>
          <w:sz w:val="20"/>
          <w:szCs w:val="20"/>
          <w:lang w:eastAsia="pt-BR"/>
        </w:rPr>
        <w:t>4</w:t>
      </w:r>
      <w:r w:rsidRPr="006E636F">
        <w:rPr>
          <w:rFonts w:cs="Calibri"/>
          <w:b/>
          <w:bCs/>
          <w:sz w:val="20"/>
          <w:szCs w:val="20"/>
          <w:lang w:eastAsia="pt-BR"/>
        </w:rPr>
        <w:t xml:space="preserve"> de </w:t>
      </w:r>
      <w:r>
        <w:rPr>
          <w:rFonts w:cs="Calibri"/>
          <w:b/>
          <w:bCs/>
          <w:sz w:val="20"/>
          <w:szCs w:val="20"/>
          <w:lang w:eastAsia="pt-BR"/>
        </w:rPr>
        <w:t>4</w:t>
      </w:r>
    </w:p>
    <w:p w:rsidR="003E393E" w:rsidRDefault="003E393E" w:rsidP="003E393E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137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757"/>
        <w:gridCol w:w="2475"/>
        <w:gridCol w:w="971"/>
        <w:gridCol w:w="1099"/>
        <w:gridCol w:w="811"/>
        <w:gridCol w:w="678"/>
        <w:gridCol w:w="677"/>
        <w:gridCol w:w="1079"/>
        <w:gridCol w:w="1212"/>
        <w:gridCol w:w="1346"/>
        <w:gridCol w:w="1051"/>
        <w:gridCol w:w="856"/>
      </w:tblGrid>
      <w:tr w:rsidR="003E393E" w:rsidRPr="00BE20D9" w:rsidTr="00785915">
        <w:trPr>
          <w:trHeight w:val="185"/>
        </w:trPr>
        <w:tc>
          <w:tcPr>
            <w:tcW w:w="756" w:type="dxa"/>
            <w:vMerge w:val="restart"/>
            <w:shd w:val="clear" w:color="auto" w:fill="C0C0C0"/>
            <w:vAlign w:val="center"/>
          </w:tcPr>
          <w:p w:rsidR="003E393E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Sub</w:t>
            </w:r>
          </w:p>
          <w:p w:rsidR="003E393E" w:rsidRPr="00BE20D9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categoria de Uso</w:t>
            </w:r>
          </w:p>
        </w:tc>
        <w:tc>
          <w:tcPr>
            <w:tcW w:w="757" w:type="dxa"/>
            <w:vMerge w:val="restart"/>
            <w:shd w:val="clear" w:color="auto" w:fill="C0C0C0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2475" w:type="dxa"/>
            <w:vMerge w:val="restart"/>
            <w:shd w:val="clear" w:color="auto" w:fill="C0C0C0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Grupo de atividades</w:t>
            </w:r>
          </w:p>
        </w:tc>
        <w:tc>
          <w:tcPr>
            <w:tcW w:w="3559" w:type="dxa"/>
            <w:gridSpan w:val="4"/>
            <w:vMerge w:val="restart"/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Número mínimo de vagas por área construída computável (em m²)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a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Vestiário usuário bicicleta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c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637" w:type="dxa"/>
            <w:gridSpan w:val="3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Carga e Descarga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d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1" w:type="dxa"/>
            <w:vMerge w:val="restart"/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Embarque e Desembarque</w:t>
            </w:r>
          </w:p>
        </w:tc>
        <w:tc>
          <w:tcPr>
            <w:tcW w:w="856" w:type="dxa"/>
            <w:vMerge w:val="restart"/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Largura de via</w:t>
            </w:r>
          </w:p>
        </w:tc>
      </w:tr>
      <w:tr w:rsidR="003E393E" w:rsidRPr="00BE20D9" w:rsidTr="00785915">
        <w:trPr>
          <w:trHeight w:val="120"/>
        </w:trPr>
        <w:tc>
          <w:tcPr>
            <w:tcW w:w="756" w:type="dxa"/>
            <w:vMerge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57" w:type="dxa"/>
            <w:vMerge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75" w:type="dxa"/>
            <w:vMerge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59" w:type="dxa"/>
            <w:gridSpan w:val="4"/>
            <w:vMerge/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  <w:vMerge/>
            <w:tcBorders>
              <w:right w:val="single" w:sz="12" w:space="0" w:color="auto"/>
            </w:tcBorders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utilitário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vaga para caminhão</w:t>
            </w:r>
          </w:p>
        </w:tc>
        <w:tc>
          <w:tcPr>
            <w:tcW w:w="1051" w:type="dxa"/>
            <w:vMerge/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3E393E" w:rsidRPr="00BE20D9" w:rsidTr="00785915">
        <w:trPr>
          <w:trHeight w:val="615"/>
        </w:trPr>
        <w:tc>
          <w:tcPr>
            <w:tcW w:w="756" w:type="dxa"/>
            <w:vMerge/>
            <w:tcBorders>
              <w:bottom w:val="single" w:sz="12" w:space="0" w:color="auto"/>
            </w:tcBorders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57" w:type="dxa"/>
            <w:vMerge/>
            <w:tcBorders>
              <w:bottom w:val="single" w:sz="12" w:space="0" w:color="auto"/>
            </w:tcBorders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auto"/>
            </w:tcBorders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Automóveis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especiais </w:t>
            </w:r>
          </w:p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(D + I)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 motos 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Vagas bicicletas </w:t>
            </w: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Acima de 4.000m² de área construída computável (</w:t>
            </w:r>
            <w:proofErr w:type="spellStart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acc</w:t>
            </w:r>
            <w:proofErr w:type="spellEnd"/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 (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f</w:t>
            </w:r>
            <w:r w:rsidRPr="00D137A0">
              <w:rPr>
                <w:rFonts w:cs="Calibri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1" w:type="dxa"/>
            <w:vMerge/>
            <w:tcBorders>
              <w:bottom w:val="single" w:sz="12" w:space="0" w:color="auto"/>
            </w:tcBorders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3E393E" w:rsidRPr="00BE20D9" w:rsidTr="00785915">
        <w:trPr>
          <w:trHeight w:val="461"/>
        </w:trPr>
        <w:tc>
          <w:tcPr>
            <w:tcW w:w="75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nR3 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nR3-1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Usos especiais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1/35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(D:10%;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93E" w:rsidRPr="003C68CE" w:rsidRDefault="003E393E" w:rsidP="0054771D">
            <w:pPr>
              <w:jc w:val="center"/>
              <w:rPr>
                <w:rFonts w:cs="Calibri"/>
                <w:sz w:val="16"/>
                <w:szCs w:val="16"/>
                <w:highlight w:val="yellow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E393E" w:rsidRPr="003C68CE" w:rsidRDefault="003E393E" w:rsidP="0054771D">
            <w:pPr>
              <w:jc w:val="center"/>
              <w:rPr>
                <w:rFonts w:cs="Calibri"/>
                <w:sz w:val="16"/>
                <w:szCs w:val="16"/>
                <w:highlight w:val="yellow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B1D1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≥12m</w:t>
            </w:r>
          </w:p>
        </w:tc>
      </w:tr>
      <w:tr w:rsidR="003E393E" w:rsidRPr="00BE20D9" w:rsidTr="00785915">
        <w:trPr>
          <w:trHeight w:val="170"/>
        </w:trPr>
        <w:tc>
          <w:tcPr>
            <w:tcW w:w="756" w:type="dxa"/>
            <w:vMerge/>
            <w:shd w:val="clear" w:color="auto" w:fill="FFFFFF"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nR3-2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Comércio de abastecimento de grande porte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1/35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(D:10%;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6C5E88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</w:t>
            </w:r>
            <w:r w:rsidR="003E393E" w:rsidRPr="00D137A0">
              <w:rPr>
                <w:rFonts w:cs="Calibri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A1B9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A1B9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A1B9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A1B9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A1B99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12m</w:t>
            </w:r>
          </w:p>
        </w:tc>
      </w:tr>
      <w:tr w:rsidR="003E393E" w:rsidRPr="00BE20D9" w:rsidTr="00785915">
        <w:trPr>
          <w:trHeight w:val="195"/>
        </w:trPr>
        <w:tc>
          <w:tcPr>
            <w:tcW w:w="756" w:type="dxa"/>
            <w:vMerge/>
            <w:shd w:val="clear" w:color="auto" w:fill="FFFFFF"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nR3-3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Serviço</w:t>
            </w:r>
            <w:r>
              <w:rPr>
                <w:rFonts w:cs="Calibri"/>
                <w:sz w:val="16"/>
                <w:szCs w:val="16"/>
                <w:lang w:eastAsia="pt-BR"/>
              </w:rPr>
              <w:t>s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público</w:t>
            </w:r>
            <w:r>
              <w:rPr>
                <w:rFonts w:cs="Calibri"/>
                <w:sz w:val="16"/>
                <w:szCs w:val="16"/>
                <w:lang w:eastAsia="pt-BR"/>
              </w:rPr>
              <w:t>s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socia</w:t>
            </w:r>
            <w:r>
              <w:rPr>
                <w:rFonts w:cs="Calibri"/>
                <w:sz w:val="16"/>
                <w:szCs w:val="16"/>
                <w:lang w:eastAsia="pt-BR"/>
              </w:rPr>
              <w:t>is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especia</w:t>
            </w:r>
            <w:r>
              <w:rPr>
                <w:rFonts w:cs="Calibri"/>
                <w:sz w:val="16"/>
                <w:szCs w:val="16"/>
                <w:lang w:eastAsia="pt-BR"/>
              </w:rPr>
              <w:t>is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2 vagas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0E7018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0E7018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12" w:type="dxa"/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B1D1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≥7m</w:t>
            </w:r>
          </w:p>
        </w:tc>
      </w:tr>
      <w:tr w:rsidR="003E393E" w:rsidRPr="00BE20D9" w:rsidTr="00785915">
        <w:trPr>
          <w:trHeight w:val="193"/>
        </w:trPr>
        <w:tc>
          <w:tcPr>
            <w:tcW w:w="756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nR3-4</w:t>
            </w:r>
          </w:p>
        </w:tc>
        <w:tc>
          <w:tcPr>
            <w:tcW w:w="24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577CBC" w:rsidRDefault="003E393E" w:rsidP="0054771D">
            <w:pPr>
              <w:jc w:val="left"/>
              <w:rPr>
                <w:rFonts w:cs="Calibri"/>
                <w:sz w:val="16"/>
                <w:szCs w:val="16"/>
                <w:highlight w:val="yellow"/>
                <w:lang w:eastAsia="pt-BR"/>
              </w:rPr>
            </w:pPr>
            <w:r w:rsidRPr="00577CBC">
              <w:rPr>
                <w:rFonts w:cs="Calibri"/>
                <w:bCs/>
                <w:sz w:val="16"/>
                <w:szCs w:val="16"/>
                <w:lang w:eastAsia="pt-BR"/>
              </w:rPr>
              <w:t xml:space="preserve">Local de reunião ou eventos de </w:t>
            </w:r>
            <w:r>
              <w:rPr>
                <w:rFonts w:cs="Calibri"/>
                <w:bCs/>
                <w:sz w:val="16"/>
                <w:szCs w:val="16"/>
                <w:lang w:eastAsia="pt-BR"/>
              </w:rPr>
              <w:t>grande porte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1/35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(D:10%;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93E" w:rsidRPr="003C68CE" w:rsidRDefault="006C5E88" w:rsidP="0054771D">
            <w:pPr>
              <w:jc w:val="center"/>
              <w:rPr>
                <w:rFonts w:cs="Calibri"/>
                <w:sz w:val="16"/>
                <w:szCs w:val="16"/>
                <w:highlight w:val="yellow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</w:t>
            </w:r>
            <w:r w:rsidR="003E393E" w:rsidRPr="00BE20D9">
              <w:rPr>
                <w:rFonts w:cs="Calibri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E393E" w:rsidRPr="003C68CE" w:rsidRDefault="003E393E" w:rsidP="0054771D">
            <w:pPr>
              <w:jc w:val="center"/>
              <w:rPr>
                <w:rFonts w:cs="Calibri"/>
                <w:sz w:val="16"/>
                <w:szCs w:val="16"/>
                <w:highlight w:val="yellow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B1D1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≥12m</w:t>
            </w:r>
          </w:p>
        </w:tc>
      </w:tr>
      <w:tr w:rsidR="003E393E" w:rsidRPr="00BE20D9" w:rsidTr="00785915">
        <w:trPr>
          <w:trHeight w:val="60"/>
        </w:trPr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Ind-1a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Todos</w:t>
            </w:r>
            <w:r>
              <w:rPr>
                <w:rFonts w:cs="Calibri"/>
                <w:sz w:val="16"/>
                <w:szCs w:val="16"/>
                <w:lang w:eastAsia="pt-BR"/>
              </w:rPr>
              <w:t xml:space="preserve"> os grupos de atividades da subcategoria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1/100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B1D1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B4BE4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≥ 8m</w:t>
            </w:r>
          </w:p>
        </w:tc>
      </w:tr>
      <w:tr w:rsidR="003E393E" w:rsidRPr="00BE20D9" w:rsidTr="00785915">
        <w:trPr>
          <w:trHeight w:val="307"/>
        </w:trPr>
        <w:tc>
          <w:tcPr>
            <w:tcW w:w="756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Ind-1b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Todos</w:t>
            </w:r>
            <w:r>
              <w:rPr>
                <w:rFonts w:cs="Calibri"/>
                <w:sz w:val="16"/>
                <w:szCs w:val="16"/>
                <w:lang w:eastAsia="pt-BR"/>
              </w:rPr>
              <w:t xml:space="preserve"> os grupos de atividades da subcategoria 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1/100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(D:5%;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6C5E88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</w:t>
            </w:r>
            <w:r w:rsidR="003E393E" w:rsidRPr="00BE20D9">
              <w:rPr>
                <w:rFonts w:cs="Calibri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shd w:val="clear" w:color="auto" w:fill="FFFFFF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B1D1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shd w:val="clear" w:color="auto" w:fill="FFFFFF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B4BE4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≥ 10m</w:t>
            </w:r>
          </w:p>
        </w:tc>
      </w:tr>
      <w:tr w:rsidR="003E393E" w:rsidRPr="00BE20D9" w:rsidTr="00785915">
        <w:trPr>
          <w:trHeight w:val="127"/>
        </w:trPr>
        <w:tc>
          <w:tcPr>
            <w:tcW w:w="756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Ind-2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Todos</w:t>
            </w:r>
            <w:r>
              <w:rPr>
                <w:rFonts w:cs="Calibri"/>
                <w:sz w:val="16"/>
                <w:szCs w:val="16"/>
                <w:lang w:eastAsia="pt-BR"/>
              </w:rPr>
              <w:t xml:space="preserve"> os grupos de atividades da subcategoria 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1/100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(D:10%; I:5%)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3E393E" w:rsidRPr="00D137A0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>5% (</w:t>
            </w:r>
            <w:r>
              <w:rPr>
                <w:rFonts w:cs="Calibri"/>
                <w:sz w:val="16"/>
                <w:szCs w:val="16"/>
                <w:lang w:eastAsia="pt-BR"/>
              </w:rPr>
              <w:t>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6C5E88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</w:t>
            </w:r>
            <w:r w:rsidR="003E393E" w:rsidRPr="00BE20D9">
              <w:rPr>
                <w:rFonts w:cs="Calibri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shd w:val="clear" w:color="auto" w:fill="FFFFFF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3B1D12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6339B8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6339B8">
              <w:rPr>
                <w:rFonts w:cs="Calibri"/>
                <w:sz w:val="16"/>
                <w:szCs w:val="16"/>
                <w:lang w:eastAsia="pt-BR"/>
              </w:rPr>
              <w:t xml:space="preserve"> (i)</w:t>
            </w:r>
          </w:p>
        </w:tc>
        <w:tc>
          <w:tcPr>
            <w:tcW w:w="1051" w:type="dxa"/>
            <w:shd w:val="clear" w:color="auto" w:fill="FFFFFF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4B4BE4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E393E" w:rsidRPr="00BE20D9" w:rsidRDefault="003E393E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≥ 12m</w:t>
            </w:r>
          </w:p>
        </w:tc>
      </w:tr>
      <w:tr w:rsidR="00785915" w:rsidRPr="00BE20D9" w:rsidTr="00785915">
        <w:trPr>
          <w:trHeight w:val="208"/>
        </w:trPr>
        <w:tc>
          <w:tcPr>
            <w:tcW w:w="756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INFRA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left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Todos</w:t>
            </w:r>
            <w:r>
              <w:rPr>
                <w:rFonts w:cs="Calibri"/>
                <w:sz w:val="16"/>
                <w:szCs w:val="16"/>
                <w:lang w:eastAsia="pt-BR"/>
              </w:rPr>
              <w:t xml:space="preserve"> os grupos de atividades da subcategoria</w:t>
            </w:r>
          </w:p>
        </w:tc>
        <w:tc>
          <w:tcPr>
            <w:tcW w:w="3559" w:type="dxa"/>
            <w:gridSpan w:val="4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definido caso a caso pelo executivo</w:t>
            </w: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10% (e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7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BE20D9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BE20D9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1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1 a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cada </w:t>
            </w:r>
            <w:smartTag w:uri="urn:schemas-microsoft-com:office:smarttags" w:element="metricconverter">
              <w:smartTagPr>
                <w:attr w:name="ProductID" w:val="4.000 mﾲ"/>
              </w:smartTagPr>
              <w:r w:rsidRPr="00D137A0">
                <w:rPr>
                  <w:rFonts w:cs="Calibri"/>
                  <w:sz w:val="16"/>
                  <w:szCs w:val="16"/>
                  <w:lang w:eastAsia="pt-BR"/>
                </w:rPr>
                <w:t>4.000 m²</w:t>
              </w:r>
            </w:smartTag>
            <w:r w:rsidRPr="00D137A0">
              <w:rPr>
                <w:rFonts w:cs="Calibri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cs="Calibri"/>
                <w:sz w:val="16"/>
                <w:szCs w:val="16"/>
                <w:lang w:eastAsia="pt-BR"/>
              </w:rPr>
              <w:t>i</w:t>
            </w:r>
            <w:r w:rsidRPr="00D137A0">
              <w:rPr>
                <w:rFonts w:cs="Calibri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785915" w:rsidRPr="00BE20D9" w:rsidRDefault="00785915" w:rsidP="0054771D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BE20D9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</w:tr>
    </w:tbl>
    <w:p w:rsid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</w:p>
    <w:p w:rsidR="003E393E" w:rsidRPr="00F80487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F80487">
        <w:rPr>
          <w:rFonts w:cs="Calibri"/>
          <w:bCs/>
          <w:sz w:val="18"/>
          <w:szCs w:val="18"/>
          <w:lang w:eastAsia="pt-BR"/>
        </w:rPr>
        <w:t xml:space="preserve">Notas: </w:t>
      </w:r>
    </w:p>
    <w:p w:rsidR="003E393E" w:rsidRPr="00F80487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F80487">
        <w:rPr>
          <w:rFonts w:cs="Calibri"/>
          <w:bCs/>
          <w:sz w:val="18"/>
          <w:szCs w:val="18"/>
          <w:lang w:eastAsia="pt-BR"/>
        </w:rPr>
        <w:t>NA = Não se aplica</w:t>
      </w:r>
    </w:p>
    <w:p w:rsidR="003E393E" w:rsidRPr="00785915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a</w:t>
      </w:r>
      <w:r w:rsidRPr="00F80487">
        <w:rPr>
          <w:rFonts w:cs="Calibri"/>
          <w:bCs/>
          <w:sz w:val="18"/>
          <w:szCs w:val="18"/>
          <w:lang w:eastAsia="pt-BR"/>
        </w:rPr>
        <w:t>) Vaga por metro quadrado de área construída computável. Não</w:t>
      </w:r>
      <w:r>
        <w:rPr>
          <w:rFonts w:cs="Calibri"/>
          <w:bCs/>
          <w:sz w:val="18"/>
          <w:szCs w:val="18"/>
          <w:lang w:eastAsia="pt-BR"/>
        </w:rPr>
        <w:t xml:space="preserve"> se aplica nas zonas de uso ZEU</w:t>
      </w:r>
      <w:r w:rsidRPr="00F80487">
        <w:rPr>
          <w:rFonts w:cs="Calibri"/>
          <w:bCs/>
          <w:sz w:val="18"/>
          <w:szCs w:val="18"/>
          <w:lang w:eastAsia="pt-BR"/>
        </w:rPr>
        <w:t xml:space="preserve">, </w:t>
      </w:r>
      <w:proofErr w:type="spellStart"/>
      <w:r w:rsidRPr="00785915">
        <w:rPr>
          <w:rFonts w:cs="Calibri"/>
          <w:bCs/>
          <w:sz w:val="18"/>
          <w:szCs w:val="18"/>
          <w:lang w:eastAsia="pt-BR"/>
        </w:rPr>
        <w:t>ZEUa</w:t>
      </w:r>
      <w:proofErr w:type="spellEnd"/>
      <w:r w:rsidRPr="00785915">
        <w:rPr>
          <w:rFonts w:cs="Calibri"/>
          <w:bCs/>
          <w:sz w:val="18"/>
          <w:szCs w:val="18"/>
          <w:lang w:eastAsia="pt-BR"/>
        </w:rPr>
        <w:t xml:space="preserve">, ZEUP e </w:t>
      </w:r>
      <w:proofErr w:type="spellStart"/>
      <w:r w:rsidRPr="00785915">
        <w:rPr>
          <w:rFonts w:cs="Calibri"/>
          <w:bCs/>
          <w:sz w:val="18"/>
          <w:szCs w:val="18"/>
          <w:lang w:eastAsia="pt-BR"/>
        </w:rPr>
        <w:t>ZEUPa</w:t>
      </w:r>
      <w:proofErr w:type="spellEnd"/>
      <w:r w:rsidRPr="00785915">
        <w:rPr>
          <w:rFonts w:cs="Calibri"/>
          <w:bCs/>
          <w:sz w:val="18"/>
          <w:szCs w:val="18"/>
          <w:lang w:eastAsia="pt-BR"/>
        </w:rPr>
        <w:t>, ZEM, ZEMP</w:t>
      </w:r>
      <w:r w:rsidR="006C5E88" w:rsidRPr="00785915">
        <w:rPr>
          <w:rFonts w:cs="Calibri"/>
          <w:bCs/>
          <w:sz w:val="18"/>
          <w:szCs w:val="18"/>
          <w:lang w:eastAsia="pt-BR"/>
        </w:rPr>
        <w:t xml:space="preserve"> e nos usos não residenciais em lotes com área inferior a 250m em todas as zonas.</w:t>
      </w:r>
    </w:p>
    <w:p w:rsidR="003E393E" w:rsidRPr="00785915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785915">
        <w:rPr>
          <w:rFonts w:cs="Calibri"/>
          <w:bCs/>
          <w:sz w:val="18"/>
          <w:szCs w:val="18"/>
          <w:lang w:eastAsia="pt-BR"/>
        </w:rPr>
        <w:t xml:space="preserve">b) Incide sobre a  porcentagem das vagas de estacionamento adotadas no projeto. D: porcentagem de vagas para deficientes. I: porcentagem de vagas para idosos. </w:t>
      </w:r>
    </w:p>
    <w:p w:rsidR="003E393E" w:rsidRPr="00F80487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785915">
        <w:rPr>
          <w:rFonts w:cs="Calibri"/>
          <w:bCs/>
          <w:sz w:val="18"/>
          <w:szCs w:val="18"/>
          <w:lang w:eastAsia="pt-BR"/>
        </w:rPr>
        <w:t>c) Vestiário com área mínima de 1,20m² para cada chuveiro instalado, excetuada a área do próprio</w:t>
      </w:r>
      <w:r w:rsidRPr="00F80487">
        <w:rPr>
          <w:rFonts w:cs="Calibri"/>
          <w:bCs/>
          <w:sz w:val="18"/>
          <w:szCs w:val="18"/>
          <w:lang w:eastAsia="pt-BR"/>
        </w:rPr>
        <w:t xml:space="preserve"> chuveiro, conforme Código de Obras e Edificações.</w:t>
      </w:r>
    </w:p>
    <w:p w:rsidR="003E393E" w:rsidRPr="00F80487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d</w:t>
      </w:r>
      <w:r w:rsidRPr="00F80487">
        <w:rPr>
          <w:rFonts w:cs="Calibri"/>
          <w:bCs/>
          <w:sz w:val="18"/>
          <w:szCs w:val="18"/>
          <w:lang w:eastAsia="pt-BR"/>
        </w:rPr>
        <w:t xml:space="preserve">) Não se exige vaga para carga e descarga nos lotes até </w:t>
      </w:r>
      <w:smartTag w:uri="urn:schemas-microsoft-com:office:smarttags" w:element="metricconverter">
        <w:smartTagPr>
          <w:attr w:name="ProductID" w:val="250 mﾲ"/>
        </w:smartTagPr>
        <w:r w:rsidRPr="00F80487">
          <w:rPr>
            <w:rFonts w:cs="Calibri"/>
            <w:bCs/>
            <w:sz w:val="18"/>
            <w:szCs w:val="18"/>
            <w:lang w:eastAsia="pt-BR"/>
          </w:rPr>
          <w:t>250 m²</w:t>
        </w:r>
      </w:smartTag>
      <w:r w:rsidRPr="00F80487">
        <w:rPr>
          <w:rFonts w:cs="Calibri"/>
          <w:bCs/>
          <w:sz w:val="18"/>
          <w:szCs w:val="18"/>
          <w:lang w:eastAsia="pt-BR"/>
        </w:rPr>
        <w:t xml:space="preserve"> (duzentos e cinquenta metros quadrados).</w:t>
      </w:r>
    </w:p>
    <w:p w:rsidR="003E393E" w:rsidRPr="00F80487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e</w:t>
      </w:r>
      <w:r w:rsidRPr="00F80487">
        <w:rPr>
          <w:rFonts w:cs="Calibri"/>
          <w:bCs/>
          <w:sz w:val="18"/>
          <w:szCs w:val="18"/>
          <w:lang w:eastAsia="pt-BR"/>
        </w:rPr>
        <w:t>) Incide sobre a porcentagem das vagas de estacionamento exigidas pelas demais leis.</w:t>
      </w:r>
    </w:p>
    <w:p w:rsidR="003E393E" w:rsidRP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>
        <w:rPr>
          <w:rFonts w:cs="Calibri"/>
          <w:bCs/>
          <w:sz w:val="18"/>
          <w:szCs w:val="18"/>
          <w:lang w:eastAsia="pt-BR"/>
        </w:rPr>
        <w:t>f</w:t>
      </w:r>
      <w:r w:rsidRPr="00F80487">
        <w:rPr>
          <w:rFonts w:cs="Calibri"/>
          <w:bCs/>
          <w:sz w:val="18"/>
          <w:szCs w:val="18"/>
          <w:lang w:eastAsia="pt-BR"/>
        </w:rPr>
        <w:t xml:space="preserve">) Para </w:t>
      </w:r>
      <w:r w:rsidRPr="003E393E">
        <w:rPr>
          <w:rFonts w:cs="Calibri"/>
          <w:bCs/>
          <w:sz w:val="18"/>
          <w:szCs w:val="18"/>
          <w:lang w:eastAsia="pt-BR"/>
        </w:rPr>
        <w:t>empreendimento não residenciais acima de 10.000m² de área construída computável, as vagas para caminhão devem ser compartilhadas com os ônibus fretados.</w:t>
      </w:r>
    </w:p>
    <w:p w:rsidR="003E393E" w:rsidRP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3E393E" w:rsidDel="0012267E">
        <w:rPr>
          <w:rFonts w:cs="Calibri"/>
          <w:bCs/>
          <w:sz w:val="18"/>
          <w:szCs w:val="18"/>
          <w:lang w:eastAsia="pt-BR"/>
        </w:rPr>
        <w:t xml:space="preserve"> </w:t>
      </w:r>
      <w:r w:rsidRPr="003E393E">
        <w:rPr>
          <w:rFonts w:cs="Calibri"/>
          <w:bCs/>
          <w:sz w:val="18"/>
          <w:szCs w:val="18"/>
          <w:lang w:eastAsia="pt-BR"/>
        </w:rPr>
        <w:t xml:space="preserve">h) Permitida a instalação de equipamento de saúde em via com largura menos do que </w:t>
      </w:r>
      <w:smartTag w:uri="urn:schemas-microsoft-com:office:smarttags" w:element="metricconverter">
        <w:smartTagPr>
          <w:attr w:name="ProductID" w:val="12 m"/>
        </w:smartTagPr>
        <w:r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Pr="003E393E">
        <w:rPr>
          <w:rFonts w:cs="Calibri"/>
          <w:bCs/>
          <w:sz w:val="18"/>
          <w:szCs w:val="18"/>
          <w:lang w:eastAsia="pt-BR"/>
        </w:rPr>
        <w:t xml:space="preserve"> (doze metros), desde que a edificação esteja afastada a uma distância mínima de </w:t>
      </w:r>
      <w:smartTag w:uri="urn:schemas-microsoft-com:office:smarttags" w:element="metricconverter">
        <w:smartTagPr>
          <w:attr w:name="ProductID" w:val="12 m"/>
        </w:smartTagPr>
        <w:r w:rsidRPr="003E393E">
          <w:rPr>
            <w:rFonts w:cs="Calibri"/>
            <w:bCs/>
            <w:sz w:val="18"/>
            <w:szCs w:val="18"/>
            <w:lang w:eastAsia="pt-BR"/>
          </w:rPr>
          <w:t>12 m</w:t>
        </w:r>
      </w:smartTag>
      <w:r w:rsidRPr="003E393E">
        <w:rPr>
          <w:rFonts w:cs="Calibri"/>
          <w:bCs/>
          <w:sz w:val="18"/>
          <w:szCs w:val="18"/>
          <w:lang w:eastAsia="pt-BR"/>
        </w:rPr>
        <w:t xml:space="preserve"> (doze metros) do eixo da rua e haja possibilidade de acessos secundários.</w:t>
      </w:r>
    </w:p>
    <w:p w:rsidR="003E393E" w:rsidRP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 xml:space="preserve">i) No mínimo uma vaga, mais uma vaga por fração de área construída computável. </w:t>
      </w:r>
    </w:p>
    <w:p w:rsidR="003E393E" w:rsidRDefault="003E393E" w:rsidP="003E393E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j) Conforme determina o artigo 83 desta lei, “</w:t>
      </w:r>
      <w:r w:rsidRPr="003E393E">
        <w:rPr>
          <w:rFonts w:cs="Calibri"/>
          <w:color w:val="000000"/>
          <w:sz w:val="18"/>
          <w:szCs w:val="18"/>
        </w:rPr>
        <w:t xml:space="preserve">Para HIS e HMP devem ser observadas as normas, índices e parâmetros definidos em decreto específico do Executivo, conforme disposições da </w:t>
      </w:r>
      <w:r w:rsidRPr="003E393E">
        <w:rPr>
          <w:sz w:val="18"/>
          <w:szCs w:val="18"/>
        </w:rPr>
        <w:t>Lei n. 16.050, de 2014</w:t>
      </w:r>
    </w:p>
    <w:p w:rsidR="00BD12E6" w:rsidRPr="006F7B1A" w:rsidRDefault="00BD12E6" w:rsidP="00F935C5">
      <w:pPr>
        <w:rPr>
          <w:sz w:val="18"/>
          <w:szCs w:val="18"/>
        </w:rPr>
      </w:pPr>
      <w:bookmarkStart w:id="0" w:name="_GoBack"/>
      <w:bookmarkEnd w:id="0"/>
    </w:p>
    <w:sectPr w:rsidR="00BD12E6" w:rsidRPr="006F7B1A" w:rsidSect="00F935C5">
      <w:pgSz w:w="16839" w:h="11907" w:orient="landscape" w:code="9"/>
      <w:pgMar w:top="720" w:right="720" w:bottom="953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F935C5">
      <w:rPr>
        <w:rFonts w:ascii="Calibri" w:hAnsi="Calibri" w:cs="Calibri"/>
        <w:b/>
        <w:bCs/>
        <w:noProof/>
        <w:sz w:val="20"/>
        <w:szCs w:val="20"/>
      </w:rPr>
      <w:t>2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F935C5">
      <w:rPr>
        <w:rFonts w:ascii="Calibri" w:hAnsi="Calibri" w:cs="Calibri"/>
        <w:b/>
        <w:bCs/>
        <w:noProof/>
        <w:sz w:val="20"/>
        <w:szCs w:val="20"/>
      </w:rPr>
      <w:t>4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1700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1C21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6026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3315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2AB7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37FED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35C5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3BD6-D32E-418D-9321-D03DFD2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2391</Words>
  <Characters>10947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3</cp:revision>
  <cp:lastPrinted>2015-03-31T17:48:00Z</cp:lastPrinted>
  <dcterms:created xsi:type="dcterms:W3CDTF">2015-03-31T18:41:00Z</dcterms:created>
  <dcterms:modified xsi:type="dcterms:W3CDTF">2015-03-31T18:42:00Z</dcterms:modified>
</cp:coreProperties>
</file>