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00" w:rsidRDefault="00582CF5" w:rsidP="001C6FA1">
      <w:pPr>
        <w:rPr>
          <w:b/>
          <w:sz w:val="20"/>
          <w:szCs w:val="20"/>
        </w:rPr>
      </w:pPr>
      <w:r>
        <w:rPr>
          <w:rFonts w:cs="Calibri"/>
          <w:b/>
          <w:bCs/>
          <w:sz w:val="20"/>
          <w:szCs w:val="20"/>
          <w:lang w:eastAsia="pt-BR"/>
        </w:rPr>
        <w:t>Q</w:t>
      </w:r>
      <w:r w:rsidR="002979F7" w:rsidRPr="006E636F">
        <w:rPr>
          <w:rFonts w:cs="Calibri"/>
          <w:b/>
          <w:bCs/>
          <w:sz w:val="20"/>
          <w:szCs w:val="20"/>
          <w:lang w:eastAsia="pt-BR"/>
        </w:rPr>
        <w:t xml:space="preserve">uadro 1 </w:t>
      </w:r>
      <w:r w:rsidR="00EE1269">
        <w:rPr>
          <w:rFonts w:cs="Calibri"/>
          <w:b/>
          <w:bCs/>
          <w:sz w:val="20"/>
          <w:szCs w:val="20"/>
          <w:lang w:eastAsia="pt-BR"/>
        </w:rPr>
        <w:t xml:space="preserve">- </w:t>
      </w:r>
      <w:r w:rsidR="002979F7" w:rsidRPr="006E636F">
        <w:rPr>
          <w:rFonts w:cs="Calibri"/>
          <w:b/>
          <w:bCs/>
          <w:sz w:val="20"/>
          <w:szCs w:val="20"/>
          <w:lang w:eastAsia="pt-BR"/>
        </w:rPr>
        <w:t xml:space="preserve">Conceitos e definições | </w:t>
      </w:r>
      <w:r w:rsidR="0086428B">
        <w:rPr>
          <w:b/>
          <w:sz w:val="20"/>
          <w:szCs w:val="20"/>
        </w:rPr>
        <w:t xml:space="preserve">Folha 1 de </w:t>
      </w:r>
      <w:r w:rsidR="00213DA7">
        <w:rPr>
          <w:b/>
          <w:sz w:val="20"/>
          <w:szCs w:val="20"/>
        </w:rPr>
        <w:t>6</w:t>
      </w:r>
    </w:p>
    <w:p w:rsidR="0092709A" w:rsidRPr="006E636F" w:rsidRDefault="0092709A" w:rsidP="001C6FA1">
      <w:pPr>
        <w:rPr>
          <w:sz w:val="20"/>
          <w:szCs w:val="20"/>
        </w:rPr>
      </w:pPr>
    </w:p>
    <w:tbl>
      <w:tblPr>
        <w:tblW w:w="12045" w:type="dxa"/>
        <w:tblInd w:w="55" w:type="dxa"/>
        <w:tblCellMar>
          <w:left w:w="70" w:type="dxa"/>
          <w:right w:w="70" w:type="dxa"/>
        </w:tblCellMar>
        <w:tblLook w:val="04A0" w:firstRow="1" w:lastRow="0" w:firstColumn="1" w:lastColumn="0" w:noHBand="0" w:noVBand="1"/>
      </w:tblPr>
      <w:tblGrid>
        <w:gridCol w:w="2615"/>
        <w:gridCol w:w="9430"/>
      </w:tblGrid>
      <w:tr w:rsidR="0092709A" w:rsidRPr="0054771D" w:rsidTr="0086428B">
        <w:trPr>
          <w:trHeight w:val="315"/>
        </w:trPr>
        <w:tc>
          <w:tcPr>
            <w:tcW w:w="261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92709A" w:rsidRPr="0054771D" w:rsidRDefault="0092709A" w:rsidP="00231F6C">
            <w:pPr>
              <w:jc w:val="left"/>
              <w:rPr>
                <w:rFonts w:cs="Calibri"/>
                <w:b/>
                <w:bCs/>
                <w:color w:val="000000"/>
                <w:sz w:val="20"/>
                <w:szCs w:val="20"/>
                <w:lang w:eastAsia="pt-BR"/>
              </w:rPr>
            </w:pPr>
            <w:r w:rsidRPr="0054771D">
              <w:rPr>
                <w:rFonts w:cs="Calibri"/>
                <w:b/>
                <w:bCs/>
                <w:color w:val="000000"/>
                <w:sz w:val="20"/>
                <w:szCs w:val="20"/>
                <w:lang w:eastAsia="pt-BR"/>
              </w:rPr>
              <w:t>CONCEITO</w:t>
            </w:r>
          </w:p>
        </w:tc>
        <w:tc>
          <w:tcPr>
            <w:tcW w:w="9430" w:type="dxa"/>
            <w:tcBorders>
              <w:top w:val="single" w:sz="8" w:space="0" w:color="auto"/>
              <w:left w:val="nil"/>
              <w:bottom w:val="single" w:sz="8" w:space="0" w:color="auto"/>
              <w:right w:val="single" w:sz="8" w:space="0" w:color="auto"/>
            </w:tcBorders>
            <w:shd w:val="clear" w:color="000000" w:fill="C0C0C0"/>
            <w:noWrap/>
            <w:vAlign w:val="bottom"/>
          </w:tcPr>
          <w:p w:rsidR="0092709A" w:rsidRPr="0054771D" w:rsidRDefault="0092709A" w:rsidP="00231F6C">
            <w:pPr>
              <w:jc w:val="left"/>
              <w:rPr>
                <w:rFonts w:cs="Calibri"/>
                <w:b/>
                <w:bCs/>
                <w:color w:val="000000"/>
                <w:sz w:val="20"/>
                <w:szCs w:val="20"/>
                <w:lang w:eastAsia="pt-BR"/>
              </w:rPr>
            </w:pPr>
            <w:r w:rsidRPr="0054771D">
              <w:rPr>
                <w:rFonts w:cs="Calibri"/>
                <w:b/>
                <w:bCs/>
                <w:color w:val="000000"/>
                <w:sz w:val="20"/>
                <w:szCs w:val="20"/>
                <w:lang w:eastAsia="pt-BR"/>
              </w:rPr>
              <w:t>DEFINIÇÃO</w:t>
            </w:r>
          </w:p>
        </w:tc>
      </w:tr>
      <w:tr w:rsidR="0092709A" w:rsidRPr="0054771D" w:rsidTr="0086428B">
        <w:trPr>
          <w:trHeight w:val="101"/>
        </w:trPr>
        <w:tc>
          <w:tcPr>
            <w:tcW w:w="2615"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lang w:eastAsia="pt-BR"/>
              </w:rPr>
            </w:pPr>
            <w:r w:rsidRPr="0054771D">
              <w:rPr>
                <w:rFonts w:cs="Calibri"/>
                <w:b/>
                <w:bCs/>
                <w:color w:val="000000"/>
                <w:sz w:val="20"/>
                <w:szCs w:val="20"/>
                <w:lang w:eastAsia="pt-BR"/>
              </w:rPr>
              <w:t>Alinhamento</w:t>
            </w:r>
          </w:p>
        </w:tc>
        <w:tc>
          <w:tcPr>
            <w:tcW w:w="9430" w:type="dxa"/>
            <w:tcBorders>
              <w:top w:val="single" w:sz="4" w:space="0" w:color="auto"/>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lang w:eastAsia="pt-BR"/>
              </w:rPr>
              <w:t>Linha divisória entre o lote e o logradouro público.</w:t>
            </w:r>
          </w:p>
        </w:tc>
      </w:tr>
      <w:tr w:rsidR="0092709A" w:rsidRPr="0054771D" w:rsidTr="0086428B">
        <w:trPr>
          <w:trHeight w:val="99"/>
        </w:trPr>
        <w:tc>
          <w:tcPr>
            <w:tcW w:w="2615"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lang w:eastAsia="pt-BR"/>
              </w:rPr>
            </w:pPr>
            <w:r w:rsidRPr="0054771D">
              <w:rPr>
                <w:rFonts w:cs="Calibri"/>
                <w:b/>
                <w:color w:val="000000"/>
                <w:sz w:val="20"/>
                <w:szCs w:val="20"/>
              </w:rPr>
              <w:t xml:space="preserve">Área ajardinada sobre laje com espessura de solo maior que </w:t>
            </w:r>
            <w:smartTag w:uri="urn:schemas-microsoft-com:office:smarttags" w:element="metricconverter">
              <w:smartTagPr>
                <w:attr w:name="ProductID" w:val="40 cm"/>
              </w:smartTagPr>
              <w:r w:rsidRPr="0054771D">
                <w:rPr>
                  <w:rFonts w:cs="Calibri"/>
                  <w:b/>
                  <w:color w:val="000000"/>
                  <w:sz w:val="20"/>
                  <w:szCs w:val="20"/>
                </w:rPr>
                <w:t>40 cm</w:t>
              </w:r>
            </w:smartTag>
          </w:p>
        </w:tc>
        <w:tc>
          <w:tcPr>
            <w:tcW w:w="9430" w:type="dxa"/>
            <w:tcBorders>
              <w:top w:val="single" w:sz="4" w:space="0" w:color="auto"/>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rPr>
              <w:t xml:space="preserve">Área livre de qualquer edificação ou qualquer pavimento ou cobertura, ainda que semipermeável, sobre o solo, mas com edificação no subsolo, com uma camada de solo para plantio de vegetação de no mínimo </w:t>
            </w:r>
            <w:smartTag w:uri="urn:schemas-microsoft-com:office:smarttags" w:element="metricconverter">
              <w:smartTagPr>
                <w:attr w:name="ProductID" w:val="40 cm"/>
              </w:smartTagPr>
              <w:r w:rsidRPr="0054771D">
                <w:rPr>
                  <w:rFonts w:cs="Calibri"/>
                  <w:color w:val="000000"/>
                  <w:sz w:val="20"/>
                  <w:szCs w:val="20"/>
                </w:rPr>
                <w:t>40 cm</w:t>
              </w:r>
            </w:smartTag>
            <w:r w:rsidRPr="0054771D">
              <w:rPr>
                <w:rFonts w:cs="Calibri"/>
                <w:color w:val="000000"/>
                <w:sz w:val="20"/>
                <w:szCs w:val="20"/>
              </w:rPr>
              <w:t xml:space="preserve"> de espessura;</w:t>
            </w:r>
          </w:p>
        </w:tc>
      </w:tr>
      <w:tr w:rsidR="0092709A" w:rsidRPr="0054771D" w:rsidTr="0086428B">
        <w:trPr>
          <w:trHeight w:val="99"/>
        </w:trPr>
        <w:tc>
          <w:tcPr>
            <w:tcW w:w="2615"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lang w:eastAsia="pt-BR"/>
              </w:rPr>
            </w:pPr>
            <w:r w:rsidRPr="0054771D">
              <w:rPr>
                <w:rFonts w:cs="Calibri"/>
                <w:b/>
                <w:color w:val="000000"/>
                <w:sz w:val="20"/>
                <w:szCs w:val="20"/>
              </w:rPr>
              <w:t>Área ajardinada sobre solo natural</w:t>
            </w:r>
          </w:p>
        </w:tc>
        <w:tc>
          <w:tcPr>
            <w:tcW w:w="9430" w:type="dxa"/>
            <w:tcBorders>
              <w:top w:val="single" w:sz="4" w:space="0" w:color="auto"/>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rPr>
              <w:t>Área livre de qualquer edificação ou pavimento, ou cobertura, tanto sobre solo quanto no subsolo, que permite a infiltração de água e é destinada ao ajardinamento;</w:t>
            </w:r>
          </w:p>
        </w:tc>
      </w:tr>
      <w:tr w:rsidR="0092709A" w:rsidRPr="0054771D" w:rsidTr="0086428B">
        <w:trPr>
          <w:trHeight w:val="122"/>
        </w:trPr>
        <w:tc>
          <w:tcPr>
            <w:tcW w:w="2615" w:type="dxa"/>
            <w:tcBorders>
              <w:top w:val="nil"/>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lang w:eastAsia="pt-BR"/>
              </w:rPr>
            </w:pPr>
            <w:r w:rsidRPr="0054771D">
              <w:rPr>
                <w:rFonts w:cs="Calibri"/>
                <w:b/>
                <w:bCs/>
                <w:color w:val="000000"/>
                <w:sz w:val="20"/>
                <w:szCs w:val="20"/>
                <w:lang w:eastAsia="pt-BR"/>
              </w:rPr>
              <w:t xml:space="preserve">Área Bruta </w:t>
            </w:r>
            <w:proofErr w:type="spellStart"/>
            <w:r w:rsidRPr="0054771D">
              <w:rPr>
                <w:rFonts w:cs="Calibri"/>
                <w:b/>
                <w:bCs/>
                <w:color w:val="000000"/>
                <w:sz w:val="20"/>
                <w:szCs w:val="20"/>
                <w:lang w:eastAsia="pt-BR"/>
              </w:rPr>
              <w:t>Locável</w:t>
            </w:r>
            <w:proofErr w:type="spellEnd"/>
          </w:p>
        </w:tc>
        <w:tc>
          <w:tcPr>
            <w:tcW w:w="9430" w:type="dxa"/>
            <w:tcBorders>
              <w:top w:val="nil"/>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lang w:eastAsia="pt-BR"/>
              </w:rPr>
              <w:t xml:space="preserve">Soma do total de áreas úteis, computáveis ou não, disponíveis para locação em um empreendimento </w:t>
            </w:r>
            <w:proofErr w:type="gramStart"/>
            <w:r w:rsidRPr="0054771D">
              <w:rPr>
                <w:rFonts w:cs="Calibri"/>
                <w:color w:val="000000"/>
                <w:sz w:val="20"/>
                <w:szCs w:val="20"/>
                <w:lang w:eastAsia="pt-BR"/>
              </w:rPr>
              <w:t>não-residencial</w:t>
            </w:r>
            <w:proofErr w:type="gramEnd"/>
            <w:r w:rsidRPr="0054771D">
              <w:rPr>
                <w:rFonts w:cs="Calibri"/>
                <w:color w:val="000000"/>
                <w:sz w:val="20"/>
                <w:szCs w:val="20"/>
                <w:lang w:eastAsia="pt-BR"/>
              </w:rPr>
              <w:t>.</w:t>
            </w:r>
          </w:p>
        </w:tc>
      </w:tr>
      <w:tr w:rsidR="0092709A" w:rsidRPr="0054771D" w:rsidTr="0086428B">
        <w:trPr>
          <w:trHeight w:val="121"/>
        </w:trPr>
        <w:tc>
          <w:tcPr>
            <w:tcW w:w="2615" w:type="dxa"/>
            <w:tcBorders>
              <w:top w:val="nil"/>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lang w:eastAsia="pt-BR"/>
              </w:rPr>
            </w:pPr>
            <w:r w:rsidRPr="0054771D">
              <w:rPr>
                <w:rFonts w:cs="Calibri"/>
                <w:b/>
                <w:bCs/>
                <w:color w:val="000000"/>
                <w:sz w:val="20"/>
                <w:szCs w:val="20"/>
                <w:lang w:eastAsia="pt-BR"/>
              </w:rPr>
              <w:t>Área bruta do território</w:t>
            </w:r>
          </w:p>
        </w:tc>
        <w:tc>
          <w:tcPr>
            <w:tcW w:w="9430" w:type="dxa"/>
            <w:tcBorders>
              <w:top w:val="nil"/>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lang w:eastAsia="pt-BR"/>
              </w:rPr>
              <w:t>É a área total de um determinado território, inclusive logradouros, áreas verdes e institucionais.</w:t>
            </w:r>
          </w:p>
        </w:tc>
      </w:tr>
      <w:tr w:rsidR="0092709A" w:rsidRPr="0054771D" w:rsidTr="0086428B">
        <w:trPr>
          <w:trHeight w:val="51"/>
        </w:trPr>
        <w:tc>
          <w:tcPr>
            <w:tcW w:w="2615" w:type="dxa"/>
            <w:tcBorders>
              <w:top w:val="nil"/>
              <w:left w:val="single" w:sz="8" w:space="0" w:color="auto"/>
              <w:bottom w:val="single" w:sz="4" w:space="0" w:color="auto"/>
              <w:right w:val="single" w:sz="4" w:space="0" w:color="auto"/>
            </w:tcBorders>
            <w:shd w:val="clear" w:color="000000" w:fill="FFFFFF"/>
            <w:vAlign w:val="center"/>
          </w:tcPr>
          <w:p w:rsidR="0092709A" w:rsidRPr="0054771D" w:rsidRDefault="0092709A" w:rsidP="00553B89">
            <w:pPr>
              <w:jc w:val="left"/>
              <w:rPr>
                <w:rFonts w:cs="Calibri"/>
                <w:b/>
                <w:bCs/>
                <w:color w:val="000000"/>
                <w:sz w:val="20"/>
                <w:szCs w:val="20"/>
                <w:lang w:eastAsia="pt-BR"/>
              </w:rPr>
            </w:pPr>
            <w:r w:rsidRPr="0054771D">
              <w:rPr>
                <w:rFonts w:cs="Calibri"/>
                <w:b/>
                <w:bCs/>
                <w:color w:val="000000"/>
                <w:sz w:val="20"/>
                <w:szCs w:val="20"/>
                <w:lang w:eastAsia="pt-BR"/>
              </w:rPr>
              <w:t>Área Construída</w:t>
            </w:r>
          </w:p>
        </w:tc>
        <w:tc>
          <w:tcPr>
            <w:tcW w:w="9430" w:type="dxa"/>
            <w:tcBorders>
              <w:top w:val="nil"/>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lang w:eastAsia="pt-BR"/>
              </w:rPr>
              <w:t>Áreas cobertas de uma edificação.</w:t>
            </w:r>
          </w:p>
        </w:tc>
      </w:tr>
      <w:tr w:rsidR="0092709A" w:rsidRPr="0054771D" w:rsidTr="0086428B">
        <w:trPr>
          <w:trHeight w:val="48"/>
        </w:trPr>
        <w:tc>
          <w:tcPr>
            <w:tcW w:w="2615" w:type="dxa"/>
            <w:tcBorders>
              <w:top w:val="nil"/>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lang w:eastAsia="pt-BR"/>
              </w:rPr>
            </w:pPr>
            <w:r w:rsidRPr="0054771D">
              <w:rPr>
                <w:rFonts w:cs="Calibri"/>
                <w:b/>
                <w:bCs/>
                <w:color w:val="000000"/>
                <w:sz w:val="20"/>
                <w:szCs w:val="20"/>
                <w:lang w:eastAsia="pt-BR"/>
              </w:rPr>
              <w:t>Área construída computável ou Área construída computável máxima do projeto</w:t>
            </w:r>
          </w:p>
        </w:tc>
        <w:tc>
          <w:tcPr>
            <w:tcW w:w="9430" w:type="dxa"/>
            <w:tcBorders>
              <w:top w:val="nil"/>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lang w:eastAsia="pt-BR"/>
              </w:rPr>
              <w:t xml:space="preserve">Soma do máximo de áreas construídas cobertas passíveis de edificação, excluídas as áreas </w:t>
            </w:r>
            <w:proofErr w:type="gramStart"/>
            <w:r w:rsidRPr="0054771D">
              <w:rPr>
                <w:rFonts w:cs="Calibri"/>
                <w:color w:val="000000"/>
                <w:sz w:val="20"/>
                <w:szCs w:val="20"/>
                <w:lang w:eastAsia="pt-BR"/>
              </w:rPr>
              <w:t>não-computáveis</w:t>
            </w:r>
            <w:proofErr w:type="gramEnd"/>
            <w:r w:rsidRPr="0054771D">
              <w:rPr>
                <w:rFonts w:cs="Calibri"/>
                <w:color w:val="000000"/>
                <w:sz w:val="20"/>
                <w:szCs w:val="20"/>
                <w:lang w:eastAsia="pt-BR"/>
              </w:rPr>
              <w:t xml:space="preserve"> incentivadas e as áreas não-computáveis não incentivadas.</w:t>
            </w:r>
          </w:p>
        </w:tc>
      </w:tr>
      <w:tr w:rsidR="0092709A" w:rsidRPr="0054771D" w:rsidTr="0086428B">
        <w:trPr>
          <w:trHeight w:val="48"/>
        </w:trPr>
        <w:tc>
          <w:tcPr>
            <w:tcW w:w="2615" w:type="dxa"/>
            <w:tcBorders>
              <w:top w:val="nil"/>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lang w:eastAsia="pt-BR"/>
              </w:rPr>
            </w:pPr>
            <w:r w:rsidRPr="0054771D">
              <w:rPr>
                <w:rFonts w:cs="Calibri"/>
                <w:b/>
                <w:bCs/>
                <w:color w:val="000000"/>
                <w:sz w:val="20"/>
                <w:szCs w:val="20"/>
                <w:lang w:eastAsia="pt-BR"/>
              </w:rPr>
              <w:t>Área construída computável pretendida ou total do projeto</w:t>
            </w:r>
          </w:p>
        </w:tc>
        <w:tc>
          <w:tcPr>
            <w:tcW w:w="9430" w:type="dxa"/>
            <w:tcBorders>
              <w:top w:val="nil"/>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lang w:eastAsia="pt-BR"/>
              </w:rPr>
              <w:t xml:space="preserve">Soma das áreas construídas cobertas da edificação excluídas as áreas </w:t>
            </w:r>
            <w:proofErr w:type="gramStart"/>
            <w:r w:rsidRPr="0054771D">
              <w:rPr>
                <w:rFonts w:cs="Calibri"/>
                <w:color w:val="000000"/>
                <w:sz w:val="20"/>
                <w:szCs w:val="20"/>
                <w:lang w:eastAsia="pt-BR"/>
              </w:rPr>
              <w:t>não-computáveis</w:t>
            </w:r>
            <w:proofErr w:type="gramEnd"/>
            <w:r w:rsidRPr="0054771D">
              <w:rPr>
                <w:rFonts w:cs="Calibri"/>
                <w:color w:val="000000"/>
                <w:sz w:val="20"/>
                <w:szCs w:val="20"/>
                <w:lang w:eastAsia="pt-BR"/>
              </w:rPr>
              <w:t xml:space="preserve"> incentivadas e as áreas não-computáveis não-incentivadas.</w:t>
            </w:r>
          </w:p>
        </w:tc>
      </w:tr>
      <w:tr w:rsidR="0092709A" w:rsidRPr="0054771D" w:rsidTr="0086428B">
        <w:trPr>
          <w:trHeight w:val="121"/>
        </w:trPr>
        <w:tc>
          <w:tcPr>
            <w:tcW w:w="2615" w:type="dxa"/>
            <w:tcBorders>
              <w:top w:val="nil"/>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lang w:eastAsia="pt-BR"/>
              </w:rPr>
            </w:pPr>
            <w:r w:rsidRPr="0054771D">
              <w:rPr>
                <w:rFonts w:cs="Calibri"/>
                <w:b/>
                <w:bCs/>
                <w:color w:val="000000"/>
                <w:sz w:val="20"/>
                <w:szCs w:val="20"/>
                <w:lang w:eastAsia="pt-BR"/>
              </w:rPr>
              <w:t xml:space="preserve">Área construída </w:t>
            </w:r>
            <w:proofErr w:type="gramStart"/>
            <w:r w:rsidRPr="0054771D">
              <w:rPr>
                <w:rFonts w:cs="Calibri"/>
                <w:b/>
                <w:bCs/>
                <w:color w:val="000000"/>
                <w:sz w:val="20"/>
                <w:szCs w:val="20"/>
                <w:lang w:eastAsia="pt-BR"/>
              </w:rPr>
              <w:t>não-computável</w:t>
            </w:r>
            <w:proofErr w:type="gramEnd"/>
            <w:r w:rsidRPr="0054771D">
              <w:rPr>
                <w:rFonts w:cs="Calibri"/>
                <w:b/>
                <w:bCs/>
                <w:color w:val="000000"/>
                <w:sz w:val="20"/>
                <w:szCs w:val="20"/>
                <w:lang w:eastAsia="pt-BR"/>
              </w:rPr>
              <w:t xml:space="preserve"> Incentivada do projeto</w:t>
            </w:r>
          </w:p>
        </w:tc>
        <w:tc>
          <w:tcPr>
            <w:tcW w:w="9430" w:type="dxa"/>
            <w:tcBorders>
              <w:top w:val="nil"/>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lang w:eastAsia="pt-BR"/>
              </w:rPr>
              <w:t xml:space="preserve">Soma de </w:t>
            </w:r>
            <w:proofErr w:type="gramStart"/>
            <w:r w:rsidRPr="0054771D">
              <w:rPr>
                <w:rFonts w:cs="Calibri"/>
                <w:color w:val="000000"/>
                <w:sz w:val="20"/>
                <w:szCs w:val="20"/>
                <w:lang w:eastAsia="pt-BR"/>
              </w:rPr>
              <w:t>todas</w:t>
            </w:r>
            <w:proofErr w:type="gramEnd"/>
            <w:r w:rsidRPr="0054771D">
              <w:rPr>
                <w:rFonts w:cs="Calibri"/>
                <w:color w:val="000000"/>
                <w:sz w:val="20"/>
                <w:szCs w:val="20"/>
                <w:lang w:eastAsia="pt-BR"/>
              </w:rPr>
              <w:t xml:space="preserve"> áreas construídas cobertas de todos os pavimentos de uma edificação não consideradas para o cálculo do coeficiente de aproveitamento e que possuem caráter incentivado, como aqueles decorrentes de fruição, fachada ativa, uso misto e HIS produzida segundo a cota de solidariedade.</w:t>
            </w:r>
          </w:p>
        </w:tc>
      </w:tr>
      <w:tr w:rsidR="0092709A" w:rsidRPr="0054771D" w:rsidTr="0086428B">
        <w:trPr>
          <w:trHeight w:val="121"/>
        </w:trPr>
        <w:tc>
          <w:tcPr>
            <w:tcW w:w="2615" w:type="dxa"/>
            <w:tcBorders>
              <w:top w:val="nil"/>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lang w:eastAsia="pt-BR"/>
              </w:rPr>
            </w:pPr>
            <w:r w:rsidRPr="0054771D">
              <w:rPr>
                <w:rFonts w:cs="Calibri"/>
                <w:b/>
                <w:bCs/>
                <w:color w:val="000000"/>
                <w:sz w:val="20"/>
                <w:szCs w:val="20"/>
                <w:lang w:eastAsia="pt-BR"/>
              </w:rPr>
              <w:t>Área construída bruta do projeto</w:t>
            </w:r>
          </w:p>
        </w:tc>
        <w:tc>
          <w:tcPr>
            <w:tcW w:w="9430" w:type="dxa"/>
            <w:tcBorders>
              <w:top w:val="nil"/>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color w:val="000000"/>
                <w:sz w:val="20"/>
                <w:szCs w:val="20"/>
                <w:lang w:eastAsia="pt-BR"/>
              </w:rPr>
            </w:pPr>
            <w:r w:rsidRPr="0054771D">
              <w:rPr>
                <w:rFonts w:cs="Calibri"/>
                <w:color w:val="000000"/>
                <w:sz w:val="20"/>
                <w:szCs w:val="20"/>
                <w:lang w:eastAsia="pt-BR"/>
              </w:rPr>
              <w:t xml:space="preserve">Soma de </w:t>
            </w:r>
            <w:proofErr w:type="gramStart"/>
            <w:r w:rsidRPr="0054771D">
              <w:rPr>
                <w:rFonts w:cs="Calibri"/>
                <w:color w:val="000000"/>
                <w:sz w:val="20"/>
                <w:szCs w:val="20"/>
                <w:lang w:eastAsia="pt-BR"/>
              </w:rPr>
              <w:t>todas</w:t>
            </w:r>
            <w:proofErr w:type="gramEnd"/>
            <w:r w:rsidRPr="0054771D">
              <w:rPr>
                <w:rFonts w:cs="Calibri"/>
                <w:color w:val="000000"/>
                <w:sz w:val="20"/>
                <w:szCs w:val="20"/>
                <w:lang w:eastAsia="pt-BR"/>
              </w:rPr>
              <w:t xml:space="preserve"> áreas cobertas de todos os pavimentos de uma edificação, inclusive </w:t>
            </w:r>
            <w:smartTag w:uri="urn:schemas-microsoft-com:office:smarttags" w:element="PersonName">
              <w:smartTagPr>
                <w:attr w:name="ProductID" w:val="em subsolo. Pode"/>
              </w:smartTagPr>
              <w:r w:rsidRPr="0054771D">
                <w:rPr>
                  <w:rFonts w:cs="Calibri"/>
                  <w:color w:val="000000"/>
                  <w:sz w:val="20"/>
                  <w:szCs w:val="20"/>
                  <w:lang w:eastAsia="pt-BR"/>
                </w:rPr>
                <w:t>em subsolo. Pode</w:t>
              </w:r>
            </w:smartTag>
            <w:r w:rsidRPr="0054771D">
              <w:rPr>
                <w:rFonts w:cs="Calibri"/>
                <w:color w:val="000000"/>
                <w:sz w:val="20"/>
                <w:szCs w:val="20"/>
                <w:lang w:eastAsia="pt-BR"/>
              </w:rPr>
              <w:t xml:space="preserve"> ser obtida pela soma da área construída computável com a área construída </w:t>
            </w:r>
            <w:proofErr w:type="gramStart"/>
            <w:r w:rsidRPr="0054771D">
              <w:rPr>
                <w:rFonts w:cs="Calibri"/>
                <w:color w:val="000000"/>
                <w:sz w:val="20"/>
                <w:szCs w:val="20"/>
                <w:lang w:eastAsia="pt-BR"/>
              </w:rPr>
              <w:t>não-computável</w:t>
            </w:r>
            <w:proofErr w:type="gramEnd"/>
            <w:r w:rsidRPr="0054771D">
              <w:rPr>
                <w:rFonts w:cs="Calibri"/>
                <w:color w:val="000000"/>
                <w:sz w:val="20"/>
                <w:szCs w:val="20"/>
                <w:lang w:eastAsia="pt-BR"/>
              </w:rPr>
              <w:t xml:space="preserve"> incentivada e a área construída não-computável não-incentivada</w:t>
            </w:r>
          </w:p>
        </w:tc>
      </w:tr>
    </w:tbl>
    <w:p w:rsidR="002979F7" w:rsidRDefault="00FA6011" w:rsidP="00FA6011">
      <w:pPr>
        <w:rPr>
          <w:b/>
          <w:sz w:val="20"/>
          <w:szCs w:val="20"/>
        </w:rPr>
      </w:pPr>
      <w:r>
        <w:rPr>
          <w:lang w:eastAsia="pt-BR"/>
        </w:rPr>
        <w:br w:type="page"/>
      </w:r>
      <w:r w:rsidR="002979F7" w:rsidRPr="006E636F">
        <w:rPr>
          <w:b/>
          <w:sz w:val="20"/>
          <w:szCs w:val="20"/>
          <w:lang w:eastAsia="pt-BR"/>
        </w:rPr>
        <w:lastRenderedPageBreak/>
        <w:t xml:space="preserve">Quadro 1 </w:t>
      </w:r>
      <w:r w:rsidR="00EE1269">
        <w:rPr>
          <w:b/>
          <w:sz w:val="20"/>
          <w:szCs w:val="20"/>
          <w:lang w:eastAsia="pt-BR"/>
        </w:rPr>
        <w:t>-</w:t>
      </w:r>
      <w:r w:rsidR="00EE1269" w:rsidRPr="006E636F">
        <w:rPr>
          <w:b/>
          <w:sz w:val="20"/>
          <w:szCs w:val="20"/>
          <w:lang w:eastAsia="pt-BR"/>
        </w:rPr>
        <w:t xml:space="preserve"> </w:t>
      </w:r>
      <w:r w:rsidR="002979F7" w:rsidRPr="006E636F">
        <w:rPr>
          <w:b/>
          <w:sz w:val="20"/>
          <w:szCs w:val="20"/>
          <w:lang w:eastAsia="pt-BR"/>
        </w:rPr>
        <w:t xml:space="preserve">Conceitos e definições | </w:t>
      </w:r>
      <w:r w:rsidR="0086428B">
        <w:rPr>
          <w:b/>
          <w:sz w:val="20"/>
          <w:szCs w:val="20"/>
        </w:rPr>
        <w:t xml:space="preserve">Folha 2 de </w:t>
      </w:r>
      <w:r w:rsidR="00213DA7">
        <w:rPr>
          <w:b/>
          <w:sz w:val="20"/>
          <w:szCs w:val="20"/>
        </w:rPr>
        <w:t>6</w:t>
      </w:r>
    </w:p>
    <w:p w:rsidR="0086428B" w:rsidRDefault="0086428B" w:rsidP="00FA6011">
      <w:pPr>
        <w:rPr>
          <w:b/>
          <w:sz w:val="20"/>
          <w:szCs w:val="20"/>
        </w:rPr>
      </w:pPr>
    </w:p>
    <w:tbl>
      <w:tblPr>
        <w:tblW w:w="11775" w:type="dxa"/>
        <w:tblInd w:w="55" w:type="dxa"/>
        <w:tblCellMar>
          <w:left w:w="70" w:type="dxa"/>
          <w:right w:w="70" w:type="dxa"/>
        </w:tblCellMar>
        <w:tblLook w:val="04A0" w:firstRow="1" w:lastRow="0" w:firstColumn="1" w:lastColumn="0" w:noHBand="0" w:noVBand="1"/>
      </w:tblPr>
      <w:tblGrid>
        <w:gridCol w:w="2575"/>
        <w:gridCol w:w="9200"/>
      </w:tblGrid>
      <w:tr w:rsidR="0086428B" w:rsidRPr="0086428B" w:rsidTr="0086428B">
        <w:trPr>
          <w:trHeight w:val="315"/>
        </w:trPr>
        <w:tc>
          <w:tcPr>
            <w:tcW w:w="257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86428B" w:rsidRPr="0086428B" w:rsidRDefault="0086428B" w:rsidP="0054771D">
            <w:pPr>
              <w:jc w:val="left"/>
              <w:rPr>
                <w:rFonts w:cs="Calibri"/>
                <w:b/>
                <w:bCs/>
                <w:color w:val="000000"/>
                <w:sz w:val="20"/>
                <w:szCs w:val="20"/>
                <w:lang w:eastAsia="pt-BR"/>
              </w:rPr>
            </w:pPr>
            <w:r w:rsidRPr="0086428B">
              <w:rPr>
                <w:rFonts w:cs="Calibri"/>
                <w:b/>
                <w:bCs/>
                <w:color w:val="000000"/>
                <w:sz w:val="20"/>
                <w:szCs w:val="20"/>
                <w:lang w:eastAsia="pt-BR"/>
              </w:rPr>
              <w:t>CONCEITO</w:t>
            </w:r>
          </w:p>
        </w:tc>
        <w:tc>
          <w:tcPr>
            <w:tcW w:w="9200" w:type="dxa"/>
            <w:tcBorders>
              <w:top w:val="single" w:sz="8" w:space="0" w:color="auto"/>
              <w:left w:val="nil"/>
              <w:bottom w:val="single" w:sz="8" w:space="0" w:color="auto"/>
              <w:right w:val="single" w:sz="8" w:space="0" w:color="auto"/>
            </w:tcBorders>
            <w:shd w:val="clear" w:color="000000" w:fill="C0C0C0"/>
            <w:noWrap/>
            <w:vAlign w:val="bottom"/>
          </w:tcPr>
          <w:p w:rsidR="0086428B" w:rsidRPr="0086428B" w:rsidRDefault="0086428B" w:rsidP="0054771D">
            <w:pPr>
              <w:jc w:val="left"/>
              <w:rPr>
                <w:rFonts w:cs="Calibri"/>
                <w:b/>
                <w:bCs/>
                <w:color w:val="000000"/>
                <w:sz w:val="20"/>
                <w:szCs w:val="20"/>
                <w:lang w:eastAsia="pt-BR"/>
              </w:rPr>
            </w:pPr>
            <w:r w:rsidRPr="0086428B">
              <w:rPr>
                <w:rFonts w:cs="Calibri"/>
                <w:b/>
                <w:bCs/>
                <w:color w:val="000000"/>
                <w:sz w:val="20"/>
                <w:szCs w:val="20"/>
                <w:lang w:eastAsia="pt-BR"/>
              </w:rPr>
              <w:t>DEFINIÇÃO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Área do Terreno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 de terreno de um lote ou gleba.</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 de utilização comum ou Áreas Comuns</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 que pode ser utilizada em comum por todos os proprietários de um condomínio edificado ou não, sendo livre o acesso e o uso, de forma comunitária.</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 impermeabilizada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 do lote coberta por piso impermeável ou edificação que não permite nenhuma</w:t>
            </w:r>
            <w:proofErr w:type="gramStart"/>
            <w:r w:rsidRPr="0086428B">
              <w:rPr>
                <w:rFonts w:cs="Calibri"/>
                <w:bCs/>
                <w:color w:val="000000"/>
                <w:sz w:val="20"/>
                <w:szCs w:val="20"/>
                <w:lang w:eastAsia="pt-BR"/>
              </w:rPr>
              <w:t xml:space="preserve">  </w:t>
            </w:r>
            <w:proofErr w:type="gramEnd"/>
            <w:r w:rsidRPr="0086428B">
              <w:rPr>
                <w:rFonts w:cs="Calibri"/>
                <w:bCs/>
                <w:color w:val="000000"/>
                <w:sz w:val="20"/>
                <w:szCs w:val="20"/>
                <w:lang w:eastAsia="pt-BR"/>
              </w:rPr>
              <w:t>infiltração da água no solo;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Áreas institucionais</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Áreas destinadas à instalação dos equipamentos comunitários.</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Área líquida do território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Somatória das áreas dos lotes e glebas, excluídos os logradouros, as áreas verdes e institucionais.</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Área útil ou privativa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 do imóvel, coberta ou descoberta, da qual um proprietário tem total domínio, de uso privativo e exclusivo.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Certificação de Sustentabilidade de Edificações</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Reconhecimento formal por parte de instituição acreditada junto ao órgão competente de Sistema de Certificação de sustentabilidade de que a edificação atingiu níveis de desempenho relacionados a aspectos de sustentabilidade predefinidos por um determinado sistema de avaliação.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Cobertura Verde com espessura de substrato inferior ou igual a </w:t>
            </w:r>
            <w:smartTag w:uri="urn:schemas-microsoft-com:office:smarttags" w:element="metricconverter">
              <w:smartTagPr>
                <w:attr w:name="ProductID" w:val="40 cm"/>
              </w:smartTagPr>
              <w:r w:rsidRPr="0086428B">
                <w:rPr>
                  <w:rFonts w:cs="Calibri"/>
                  <w:bCs/>
                  <w:color w:val="000000"/>
                  <w:sz w:val="20"/>
                  <w:szCs w:val="20"/>
                  <w:lang w:eastAsia="pt-BR"/>
                </w:rPr>
                <w:t>40 cm</w:t>
              </w:r>
            </w:smartTag>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 ajardinada implantada sobre a cobertura de uma edificação (telhado ou laje) cuja camada de substrato suporte para a vegetação tenha espessura menor ou igual à 40cm;</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Cobertura Verde com espessura de substrato superior a </w:t>
            </w:r>
            <w:smartTag w:uri="urn:schemas-microsoft-com:office:smarttags" w:element="metricconverter">
              <w:smartTagPr>
                <w:attr w:name="ProductID" w:val="40 cm"/>
              </w:smartTagPr>
              <w:r w:rsidRPr="0086428B">
                <w:rPr>
                  <w:rFonts w:cs="Calibri"/>
                  <w:bCs/>
                  <w:color w:val="000000"/>
                  <w:sz w:val="20"/>
                  <w:szCs w:val="20"/>
                  <w:lang w:eastAsia="pt-BR"/>
                </w:rPr>
                <w:t>40 cm</w:t>
              </w:r>
            </w:smartTag>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Área ajardinada implantada sobre a cobertura de uma edificação (telhado ou laje) cuja camada de substrato suporte para a vegetação tenha espessura maior do que 40cm;</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Coeficiente de aproveitamento de uma área urbana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Relação entre a área construída total de uma zona, área de intervenção ou operação urbana e sua área bruta.</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Cota parte de terreno por unidade construída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Define o número máximo de domicílios ou unidades construídas por lote e, indiretamente, a densidade demográfica máxima prevista para uma determinada zona ou porção do território, expressa em metros quadrados de terreno ou número máximo de habitações por metro quadrado de terreno.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Diâmetro à Altura do Peito</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Diâmetro à Altura do Peito (DAP) é o diâmetro do caule da árvore à altura de, aproximadamente, 1,3m (um metro e trinta centímetros) do solo;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Desdobro</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Parcelamento de lote resultante de loteamento ou desmembramento aprovado.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Desmembramento</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Subdivisão de glebas em lotes destinados à edificação, com aproveitamento do sistema viário existente, desde que não implique a abertura de novas vias e logradouros públicos, nem o prolongamento, modificação ou ampliação dos já existentes.</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Edifícios garagem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Edificações em que pelo menos 75% (setenta e cinco por cento) da área construída total é </w:t>
            </w:r>
            <w:proofErr w:type="gramStart"/>
            <w:r w:rsidRPr="0086428B">
              <w:rPr>
                <w:rFonts w:cs="Calibri"/>
                <w:bCs/>
                <w:color w:val="000000"/>
                <w:sz w:val="20"/>
                <w:szCs w:val="20"/>
                <w:lang w:eastAsia="pt-BR"/>
              </w:rPr>
              <w:t>destinada</w:t>
            </w:r>
            <w:proofErr w:type="gramEnd"/>
            <w:r w:rsidRPr="0086428B">
              <w:rPr>
                <w:rFonts w:cs="Calibri"/>
                <w:bCs/>
                <w:color w:val="000000"/>
                <w:sz w:val="20"/>
                <w:szCs w:val="20"/>
                <w:lang w:eastAsia="pt-BR"/>
              </w:rPr>
              <w:t xml:space="preserve"> ao estacionamento de veículos, excluindo deste percentual a área de circulação interna. </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Eixo da via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Linha que passa </w:t>
            </w:r>
            <w:proofErr w:type="spellStart"/>
            <w:r w:rsidRPr="0086428B">
              <w:rPr>
                <w:rFonts w:cs="Calibri"/>
                <w:bCs/>
                <w:color w:val="000000"/>
                <w:sz w:val="20"/>
                <w:szCs w:val="20"/>
                <w:lang w:eastAsia="pt-BR"/>
              </w:rPr>
              <w:t>eqüidistante</w:t>
            </w:r>
            <w:proofErr w:type="spellEnd"/>
            <w:r w:rsidRPr="0086428B">
              <w:rPr>
                <w:rFonts w:cs="Calibri"/>
                <w:bCs/>
                <w:color w:val="000000"/>
                <w:sz w:val="20"/>
                <w:szCs w:val="20"/>
                <w:lang w:eastAsia="pt-BR"/>
              </w:rPr>
              <w:t xml:space="preserve"> aos alinhamentos.</w:t>
            </w:r>
          </w:p>
        </w:tc>
      </w:tr>
    </w:tbl>
    <w:p w:rsidR="0086428B" w:rsidRDefault="0086428B"/>
    <w:p w:rsidR="0086428B" w:rsidRDefault="0086428B" w:rsidP="0086428B">
      <w:pPr>
        <w:rPr>
          <w:b/>
          <w:sz w:val="20"/>
          <w:szCs w:val="20"/>
        </w:rPr>
      </w:pPr>
      <w:r w:rsidRPr="006E636F">
        <w:rPr>
          <w:b/>
          <w:sz w:val="20"/>
          <w:szCs w:val="20"/>
          <w:lang w:eastAsia="pt-BR"/>
        </w:rPr>
        <w:lastRenderedPageBreak/>
        <w:t xml:space="preserve">Quadro 1 </w:t>
      </w:r>
      <w:r>
        <w:rPr>
          <w:b/>
          <w:sz w:val="20"/>
          <w:szCs w:val="20"/>
          <w:lang w:eastAsia="pt-BR"/>
        </w:rPr>
        <w:t>-</w:t>
      </w:r>
      <w:r w:rsidRPr="006E636F">
        <w:rPr>
          <w:b/>
          <w:sz w:val="20"/>
          <w:szCs w:val="20"/>
          <w:lang w:eastAsia="pt-BR"/>
        </w:rPr>
        <w:t xml:space="preserve"> Conceitos e definições | </w:t>
      </w:r>
      <w:r>
        <w:rPr>
          <w:b/>
          <w:sz w:val="20"/>
          <w:szCs w:val="20"/>
        </w:rPr>
        <w:t xml:space="preserve">Folha 3 de </w:t>
      </w:r>
      <w:r w:rsidR="00213DA7">
        <w:rPr>
          <w:b/>
          <w:sz w:val="20"/>
          <w:szCs w:val="20"/>
        </w:rPr>
        <w:t>6</w:t>
      </w:r>
    </w:p>
    <w:p w:rsidR="0086428B" w:rsidRDefault="0086428B"/>
    <w:tbl>
      <w:tblPr>
        <w:tblW w:w="11775" w:type="dxa"/>
        <w:tblInd w:w="55" w:type="dxa"/>
        <w:tblCellMar>
          <w:left w:w="70" w:type="dxa"/>
          <w:right w:w="70" w:type="dxa"/>
        </w:tblCellMar>
        <w:tblLook w:val="04A0" w:firstRow="1" w:lastRow="0" w:firstColumn="1" w:lastColumn="0" w:noHBand="0" w:noVBand="1"/>
      </w:tblPr>
      <w:tblGrid>
        <w:gridCol w:w="2575"/>
        <w:gridCol w:w="9200"/>
      </w:tblGrid>
      <w:tr w:rsidR="0086428B" w:rsidRPr="006E636F"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86428B" w:rsidRPr="006E636F" w:rsidRDefault="0086428B" w:rsidP="0054771D">
            <w:pPr>
              <w:jc w:val="left"/>
              <w:rPr>
                <w:rFonts w:cs="Calibri"/>
                <w:b/>
                <w:bCs/>
                <w:color w:val="000000"/>
                <w:sz w:val="20"/>
                <w:szCs w:val="20"/>
                <w:lang w:eastAsia="pt-BR"/>
              </w:rPr>
            </w:pPr>
            <w:r w:rsidRPr="006E636F">
              <w:rPr>
                <w:rFonts w:cs="Calibri"/>
                <w:b/>
                <w:bCs/>
                <w:color w:val="000000"/>
                <w:sz w:val="20"/>
                <w:szCs w:val="20"/>
                <w:lang w:eastAsia="pt-BR"/>
              </w:rPr>
              <w:t>CONCEITO</w:t>
            </w:r>
          </w:p>
        </w:tc>
        <w:tc>
          <w:tcPr>
            <w:tcW w:w="9200" w:type="dxa"/>
            <w:tcBorders>
              <w:top w:val="single" w:sz="8" w:space="0" w:color="auto"/>
              <w:left w:val="nil"/>
              <w:bottom w:val="single" w:sz="8" w:space="0" w:color="auto"/>
              <w:right w:val="single" w:sz="8" w:space="0" w:color="auto"/>
            </w:tcBorders>
            <w:shd w:val="clear" w:color="000000" w:fill="C0C0C0"/>
            <w:noWrap/>
            <w:vAlign w:val="bottom"/>
          </w:tcPr>
          <w:p w:rsidR="0086428B" w:rsidRPr="006E636F" w:rsidRDefault="0086428B" w:rsidP="0054771D">
            <w:pPr>
              <w:jc w:val="left"/>
              <w:rPr>
                <w:rFonts w:cs="Calibri"/>
                <w:b/>
                <w:bCs/>
                <w:color w:val="000000"/>
                <w:sz w:val="20"/>
                <w:szCs w:val="20"/>
                <w:lang w:eastAsia="pt-BR"/>
              </w:rPr>
            </w:pPr>
            <w:r w:rsidRPr="006E636F">
              <w:rPr>
                <w:rFonts w:cs="Calibri"/>
                <w:b/>
                <w:bCs/>
                <w:color w:val="000000"/>
                <w:sz w:val="20"/>
                <w:szCs w:val="20"/>
                <w:lang w:eastAsia="pt-BR"/>
              </w:rPr>
              <w:t>DEFINIÇÃO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86428B" w:rsidRPr="0086428B" w:rsidRDefault="0086428B" w:rsidP="0086428B">
            <w:pPr>
              <w:jc w:val="left"/>
              <w:rPr>
                <w:rFonts w:cs="Calibri"/>
                <w:bCs/>
                <w:color w:val="000000"/>
                <w:sz w:val="20"/>
                <w:szCs w:val="20"/>
                <w:lang w:eastAsia="pt-BR"/>
              </w:rPr>
            </w:pPr>
            <w:r w:rsidRPr="0086428B">
              <w:rPr>
                <w:rFonts w:cs="Calibri"/>
                <w:bCs/>
                <w:color w:val="000000"/>
                <w:sz w:val="20"/>
                <w:szCs w:val="20"/>
                <w:lang w:eastAsia="pt-BR"/>
              </w:rPr>
              <w:t>Fachada Ativa</w:t>
            </w:r>
          </w:p>
        </w:tc>
        <w:tc>
          <w:tcPr>
            <w:tcW w:w="9200" w:type="dxa"/>
            <w:tcBorders>
              <w:top w:val="single" w:sz="8" w:space="0" w:color="auto"/>
              <w:left w:val="nil"/>
              <w:bottom w:val="single" w:sz="8" w:space="0" w:color="auto"/>
              <w:right w:val="single" w:sz="8" w:space="0" w:color="auto"/>
            </w:tcBorders>
            <w:shd w:val="clear" w:color="auto" w:fill="FFFFFF"/>
            <w:noWrap/>
            <w:vAlign w:val="center"/>
          </w:tcPr>
          <w:p w:rsidR="0086428B" w:rsidRPr="0086428B" w:rsidRDefault="0086428B" w:rsidP="0086428B">
            <w:pPr>
              <w:jc w:val="left"/>
              <w:rPr>
                <w:rFonts w:cs="Calibri"/>
                <w:bCs/>
                <w:color w:val="000000"/>
                <w:sz w:val="20"/>
                <w:szCs w:val="20"/>
                <w:lang w:eastAsia="pt-BR"/>
              </w:rPr>
            </w:pPr>
            <w:r w:rsidRPr="0086428B">
              <w:rPr>
                <w:rFonts w:cs="Calibri"/>
                <w:bCs/>
                <w:color w:val="000000"/>
                <w:sz w:val="20"/>
                <w:szCs w:val="20"/>
                <w:lang w:eastAsia="pt-BR"/>
              </w:rPr>
              <w:t>É a fachada da edificação ocupada por uso não residencial (</w:t>
            </w:r>
            <w:proofErr w:type="spellStart"/>
            <w:proofErr w:type="gramStart"/>
            <w:r w:rsidRPr="0086428B">
              <w:rPr>
                <w:rFonts w:cs="Calibri"/>
                <w:bCs/>
                <w:color w:val="000000"/>
                <w:sz w:val="20"/>
                <w:szCs w:val="20"/>
                <w:lang w:eastAsia="pt-BR"/>
              </w:rPr>
              <w:t>nR</w:t>
            </w:r>
            <w:proofErr w:type="spellEnd"/>
            <w:proofErr w:type="gramEnd"/>
            <w:r w:rsidRPr="0086428B">
              <w:rPr>
                <w:rFonts w:cs="Calibri"/>
                <w:bCs/>
                <w:color w:val="000000"/>
                <w:sz w:val="20"/>
                <w:szCs w:val="20"/>
                <w:lang w:eastAsia="pt-BR"/>
              </w:rPr>
              <w:t xml:space="preserve">) localizada no nível do logradouro, contida na faixa de </w:t>
            </w:r>
            <w:smartTag w:uri="urn:schemas-microsoft-com:office:smarttags" w:element="metricconverter">
              <w:smartTagPr>
                <w:attr w:name="ProductID" w:val="5 metros"/>
              </w:smartTagPr>
              <w:r w:rsidRPr="0086428B">
                <w:rPr>
                  <w:rFonts w:cs="Calibri"/>
                  <w:bCs/>
                  <w:color w:val="000000"/>
                  <w:sz w:val="20"/>
                  <w:szCs w:val="20"/>
                  <w:lang w:eastAsia="pt-BR"/>
                </w:rPr>
                <w:t>5 metros</w:t>
              </w:r>
            </w:smartTag>
            <w:r w:rsidRPr="0086428B">
              <w:rPr>
                <w:rFonts w:cs="Calibri"/>
                <w:bCs/>
                <w:color w:val="000000"/>
                <w:sz w:val="20"/>
                <w:szCs w:val="20"/>
                <w:lang w:eastAsia="pt-BR"/>
              </w:rPr>
              <w:t xml:space="preserve"> a partir do alinhamento do lote, medida em projeção ortogonal da extensão horizontal. A fachada ativa deve ter aberturas para o logradouro público, tais como portas, janelas e vitrines, com permeabilidade visual, tendo no mínimo 1 (um) acesso direto ao logradouro a cada 20m de testada, a fim de evitar a formação de planos fechados sem permeabilidade visual na interface entre as construções e o logradouro, de modo a dinamizar o passeio público. </w:t>
            </w:r>
          </w:p>
          <w:p w:rsidR="0086428B" w:rsidRPr="0086428B" w:rsidRDefault="0086428B" w:rsidP="0086428B">
            <w:pPr>
              <w:jc w:val="left"/>
              <w:rPr>
                <w:rFonts w:cs="Calibri"/>
                <w:bCs/>
                <w:color w:val="000000"/>
                <w:sz w:val="20"/>
                <w:szCs w:val="20"/>
                <w:lang w:eastAsia="pt-BR"/>
              </w:rPr>
            </w:pPr>
            <w:r w:rsidRPr="0086428B">
              <w:rPr>
                <w:rFonts w:cs="Calibri"/>
                <w:bCs/>
                <w:color w:val="000000"/>
                <w:sz w:val="20"/>
                <w:szCs w:val="20"/>
                <w:lang w:eastAsia="pt-BR"/>
              </w:rPr>
              <w:t>O recuo entre a fachada ativa e o logradouro público deve estar fisicamente integrado ao passeio público, com acesso irrestrito, não podendo ser vedado com muros ou grades ao longo de toda a sua extensão e não podendo ser ocupado por vagas de garagem ou usado para manobra de veículos, carga e descarga e embarque e desembarque de passageiros.</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Del="00F01791" w:rsidRDefault="0086428B" w:rsidP="0054771D">
            <w:pPr>
              <w:jc w:val="left"/>
              <w:rPr>
                <w:rFonts w:cs="Calibri"/>
                <w:bCs/>
                <w:color w:val="000000"/>
                <w:sz w:val="20"/>
                <w:szCs w:val="20"/>
                <w:lang w:eastAsia="pt-BR"/>
              </w:rPr>
            </w:pPr>
            <w:r w:rsidRPr="0086428B">
              <w:rPr>
                <w:rFonts w:cs="Calibri"/>
                <w:bCs/>
                <w:color w:val="000000"/>
                <w:sz w:val="20"/>
                <w:szCs w:val="20"/>
                <w:lang w:eastAsia="pt-BR"/>
              </w:rPr>
              <w:t>Fachada / muro verde tradicional</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Face externa de uma edificação ou muro de vedação do lote que funciona como suporte para o plantio de vegetação do tipo trepadeira;</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Del="00F01791" w:rsidRDefault="0086428B" w:rsidP="0054771D">
            <w:pPr>
              <w:jc w:val="left"/>
              <w:rPr>
                <w:rFonts w:cs="Calibri"/>
                <w:bCs/>
                <w:color w:val="000000"/>
                <w:sz w:val="20"/>
                <w:szCs w:val="20"/>
                <w:lang w:eastAsia="pt-BR"/>
              </w:rPr>
            </w:pPr>
            <w:r w:rsidRPr="0086428B">
              <w:rPr>
                <w:rFonts w:cs="Calibri"/>
                <w:bCs/>
                <w:color w:val="000000"/>
                <w:sz w:val="20"/>
                <w:szCs w:val="20"/>
                <w:lang w:eastAsia="pt-BR"/>
              </w:rPr>
              <w:t>Fator alfa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Fator de ponderação relacionado ao indicador Cobertura Vegetal utilizado no cálculo de composição da pontuação final da Quota ambiental;</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Del="00F01791" w:rsidRDefault="0086428B" w:rsidP="0054771D">
            <w:pPr>
              <w:jc w:val="left"/>
              <w:rPr>
                <w:rFonts w:cs="Calibri"/>
                <w:bCs/>
                <w:color w:val="000000"/>
                <w:sz w:val="20"/>
                <w:szCs w:val="20"/>
                <w:lang w:eastAsia="pt-BR"/>
              </w:rPr>
            </w:pPr>
            <w:r w:rsidRPr="0086428B">
              <w:rPr>
                <w:rFonts w:cs="Calibri"/>
                <w:bCs/>
                <w:color w:val="000000"/>
                <w:sz w:val="20"/>
                <w:szCs w:val="20"/>
                <w:lang w:eastAsia="pt-BR"/>
              </w:rPr>
              <w:t>Fator beta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Fator de ponderação relacionado ao indicador Drenagem utilizado no cálculo de composição da pontuação final da Quota ambiental;</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Del="00F01791"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Fator de eficácia ambiental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Fator usado no cálculo do indicador Drenagem, sendo tanto mais ambientalmente eficaz quanto menor seu valor numérico;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Del="00F01791" w:rsidRDefault="0086428B" w:rsidP="0054771D">
            <w:pPr>
              <w:jc w:val="left"/>
              <w:rPr>
                <w:rFonts w:cs="Calibri"/>
                <w:bCs/>
                <w:color w:val="000000"/>
                <w:sz w:val="20"/>
                <w:szCs w:val="20"/>
                <w:lang w:eastAsia="pt-BR"/>
              </w:rPr>
            </w:pPr>
            <w:r w:rsidRPr="0086428B">
              <w:rPr>
                <w:rFonts w:cs="Calibri"/>
                <w:bCs/>
                <w:color w:val="000000"/>
                <w:sz w:val="20"/>
                <w:szCs w:val="20"/>
                <w:lang w:eastAsia="pt-BR"/>
              </w:rPr>
              <w:t xml:space="preserve">Fator de eficácia ambiental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Fator usado no cálculo do indicador Cobertura Vegetal, sendo tanto mais ambientalmente eficaz quanto maior seu valor numérico;</w:t>
            </w:r>
          </w:p>
        </w:tc>
      </w:tr>
      <w:tr w:rsidR="0086428B"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Frente do lote</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86428B" w:rsidRPr="0086428B" w:rsidRDefault="0086428B" w:rsidP="0054771D">
            <w:pPr>
              <w:jc w:val="left"/>
              <w:rPr>
                <w:rFonts w:cs="Calibri"/>
                <w:bCs/>
                <w:color w:val="000000"/>
                <w:sz w:val="20"/>
                <w:szCs w:val="20"/>
                <w:lang w:eastAsia="pt-BR"/>
              </w:rPr>
            </w:pPr>
            <w:r w:rsidRPr="0086428B">
              <w:rPr>
                <w:rFonts w:cs="Calibri"/>
                <w:bCs/>
                <w:color w:val="000000"/>
                <w:sz w:val="20"/>
                <w:szCs w:val="20"/>
                <w:lang w:eastAsia="pt-BR"/>
              </w:rPr>
              <w:t>Face do lote com frente para a via oficial de circulação na qual o imóvel está cadastrado ou tem acesso principal.</w:t>
            </w:r>
          </w:p>
        </w:tc>
      </w:tr>
      <w:tr w:rsidR="0092709A" w:rsidRPr="006E636F" w:rsidTr="0092709A">
        <w:trPr>
          <w:trHeight w:val="1745"/>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231F6C">
            <w:pPr>
              <w:jc w:val="left"/>
              <w:rPr>
                <w:rFonts w:cs="Calibri"/>
                <w:b/>
                <w:bCs/>
                <w:sz w:val="20"/>
                <w:szCs w:val="20"/>
                <w:lang w:eastAsia="pt-BR"/>
              </w:rPr>
            </w:pPr>
            <w:r>
              <w:rPr>
                <w:rFonts w:cs="Calibri"/>
                <w:b/>
                <w:bCs/>
                <w:sz w:val="20"/>
                <w:szCs w:val="20"/>
                <w:lang w:eastAsia="pt-BR"/>
              </w:rPr>
              <w:t>Fruição Pública</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sz w:val="20"/>
                <w:szCs w:val="20"/>
                <w:lang w:eastAsia="pt-BR"/>
              </w:rPr>
            </w:pPr>
            <w:proofErr w:type="gramStart"/>
            <w:r w:rsidRPr="006E636F">
              <w:rPr>
                <w:rFonts w:cs="Calibri"/>
                <w:sz w:val="20"/>
                <w:szCs w:val="20"/>
                <w:lang w:eastAsia="pt-BR"/>
              </w:rPr>
              <w:t>Corresponde</w:t>
            </w:r>
            <w:proofErr w:type="gramEnd"/>
            <w:r w:rsidRPr="006E636F">
              <w:rPr>
                <w:rFonts w:cs="Calibri"/>
                <w:sz w:val="20"/>
                <w:szCs w:val="20"/>
                <w:lang w:eastAsia="pt-BR"/>
              </w:rPr>
              <w:t xml:space="preserve"> à área livre externa ou interna às edificações, localizada no pavimento térreo ou nos demais pavimentos de acesso direto ao logradouro público, com conexão em nível ao logradouro e demais espaços públicos sempre que o lote tiver frente para mais de um logradouro público, destinada à circulação de pessoas, não sendo exclusiva </w:t>
            </w:r>
            <w:r>
              <w:rPr>
                <w:rFonts w:cs="Calibri"/>
                <w:sz w:val="20"/>
                <w:szCs w:val="20"/>
                <w:lang w:eastAsia="pt-BR"/>
              </w:rPr>
              <w:t>d</w:t>
            </w:r>
            <w:r w:rsidRPr="006E636F">
              <w:rPr>
                <w:rFonts w:cs="Calibri"/>
                <w:sz w:val="20"/>
                <w:szCs w:val="20"/>
                <w:lang w:eastAsia="pt-BR"/>
              </w:rPr>
              <w:t>os usuários e moradores. Não poderá ser fechada à circulação de pedestres, mas pode ter controle de acesso durante o período fora do horário de funcionamento estipulado para a subcategoria de uso na qual o imóvel se enquadra</w:t>
            </w:r>
            <w:r>
              <w:rPr>
                <w:rFonts w:cs="Calibri"/>
                <w:sz w:val="20"/>
                <w:szCs w:val="20"/>
                <w:lang w:eastAsia="pt-BR"/>
              </w:rPr>
              <w:t xml:space="preserve">, desde que seja área livre externa. Deve ter largura mínima de </w:t>
            </w:r>
            <w:smartTag w:uri="urn:schemas-microsoft-com:office:smarttags" w:element="metricconverter">
              <w:smartTagPr>
                <w:attr w:name="ProductID" w:val="4 m"/>
              </w:smartTagPr>
              <w:r>
                <w:rPr>
                  <w:rFonts w:cs="Calibri"/>
                  <w:sz w:val="20"/>
                  <w:szCs w:val="20"/>
                  <w:lang w:eastAsia="pt-BR"/>
                </w:rPr>
                <w:t>4 m</w:t>
              </w:r>
            </w:smartTag>
            <w:r>
              <w:rPr>
                <w:rFonts w:cs="Calibri"/>
                <w:sz w:val="20"/>
                <w:szCs w:val="20"/>
                <w:lang w:eastAsia="pt-BR"/>
              </w:rPr>
              <w:t xml:space="preserve"> (quatro metros), tratamento paisagístico que atenda à norma ABNT 9.050/2004 (acessibilidade universal) e nas áreas de circulação de público adotar o mesmo tipo de pavimentação da calçada diante do lote</w:t>
            </w:r>
            <w:r w:rsidRPr="006E636F">
              <w:rPr>
                <w:rFonts w:cs="Calibri"/>
                <w:sz w:val="20"/>
                <w:szCs w:val="20"/>
                <w:lang w:eastAsia="pt-BR"/>
              </w:rPr>
              <w:t xml:space="preserve">. Os acessos de veículos, bem como as áreas de serviço para carga e descarga e embarque e desembarque de passageiros não serão consideradas áreas de </w:t>
            </w:r>
            <w:r>
              <w:rPr>
                <w:rFonts w:cs="Calibri"/>
                <w:sz w:val="20"/>
                <w:szCs w:val="20"/>
                <w:lang w:eastAsia="pt-BR"/>
              </w:rPr>
              <w:t>Fruição Pública</w:t>
            </w:r>
            <w:r w:rsidRPr="006E636F">
              <w:rPr>
                <w:rFonts w:cs="Calibri"/>
                <w:sz w:val="20"/>
                <w:szCs w:val="20"/>
                <w:lang w:eastAsia="pt-BR"/>
              </w:rPr>
              <w:t>.</w:t>
            </w:r>
          </w:p>
        </w:tc>
      </w:tr>
    </w:tbl>
    <w:p w:rsidR="0086428B" w:rsidRDefault="0086428B"/>
    <w:p w:rsidR="0086428B" w:rsidRDefault="0086428B" w:rsidP="0086428B">
      <w:pPr>
        <w:rPr>
          <w:b/>
          <w:sz w:val="20"/>
          <w:szCs w:val="20"/>
        </w:rPr>
      </w:pPr>
      <w:r>
        <w:br w:type="page"/>
      </w:r>
      <w:r w:rsidRPr="006E636F">
        <w:rPr>
          <w:b/>
          <w:sz w:val="20"/>
          <w:szCs w:val="20"/>
          <w:lang w:eastAsia="pt-BR"/>
        </w:rPr>
        <w:lastRenderedPageBreak/>
        <w:t xml:space="preserve">Quadro 1 </w:t>
      </w:r>
      <w:r>
        <w:rPr>
          <w:b/>
          <w:sz w:val="20"/>
          <w:szCs w:val="20"/>
          <w:lang w:eastAsia="pt-BR"/>
        </w:rPr>
        <w:t>-</w:t>
      </w:r>
      <w:r w:rsidRPr="006E636F">
        <w:rPr>
          <w:b/>
          <w:sz w:val="20"/>
          <w:szCs w:val="20"/>
          <w:lang w:eastAsia="pt-BR"/>
        </w:rPr>
        <w:t xml:space="preserve"> Conceitos e definições | </w:t>
      </w:r>
      <w:r>
        <w:rPr>
          <w:b/>
          <w:sz w:val="20"/>
          <w:szCs w:val="20"/>
        </w:rPr>
        <w:t xml:space="preserve">Folha 4 de </w:t>
      </w:r>
      <w:r w:rsidR="00213DA7">
        <w:rPr>
          <w:b/>
          <w:sz w:val="20"/>
          <w:szCs w:val="20"/>
        </w:rPr>
        <w:t>6</w:t>
      </w:r>
    </w:p>
    <w:p w:rsidR="0086428B" w:rsidRDefault="0086428B"/>
    <w:tbl>
      <w:tblPr>
        <w:tblW w:w="11775" w:type="dxa"/>
        <w:tblInd w:w="55" w:type="dxa"/>
        <w:tblCellMar>
          <w:left w:w="70" w:type="dxa"/>
          <w:right w:w="70" w:type="dxa"/>
        </w:tblCellMar>
        <w:tblLook w:val="04A0" w:firstRow="1" w:lastRow="0" w:firstColumn="1" w:lastColumn="0" w:noHBand="0" w:noVBand="1"/>
      </w:tblPr>
      <w:tblGrid>
        <w:gridCol w:w="2575"/>
        <w:gridCol w:w="9200"/>
      </w:tblGrid>
      <w:tr w:rsidR="0086428B" w:rsidRPr="006E636F"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86428B" w:rsidRPr="006E636F" w:rsidRDefault="0086428B" w:rsidP="0054771D">
            <w:pPr>
              <w:jc w:val="left"/>
              <w:rPr>
                <w:rFonts w:cs="Calibri"/>
                <w:b/>
                <w:bCs/>
                <w:color w:val="000000"/>
                <w:sz w:val="20"/>
                <w:szCs w:val="20"/>
                <w:lang w:eastAsia="pt-BR"/>
              </w:rPr>
            </w:pPr>
            <w:r w:rsidRPr="006E636F">
              <w:rPr>
                <w:rFonts w:cs="Calibri"/>
                <w:b/>
                <w:bCs/>
                <w:color w:val="000000"/>
                <w:sz w:val="20"/>
                <w:szCs w:val="20"/>
                <w:lang w:eastAsia="pt-BR"/>
              </w:rPr>
              <w:t>CONCEITO</w:t>
            </w:r>
          </w:p>
        </w:tc>
        <w:tc>
          <w:tcPr>
            <w:tcW w:w="9200" w:type="dxa"/>
            <w:tcBorders>
              <w:top w:val="single" w:sz="8" w:space="0" w:color="auto"/>
              <w:left w:val="nil"/>
              <w:bottom w:val="single" w:sz="8" w:space="0" w:color="auto"/>
              <w:right w:val="single" w:sz="8" w:space="0" w:color="auto"/>
            </w:tcBorders>
            <w:shd w:val="clear" w:color="000000" w:fill="C0C0C0"/>
            <w:noWrap/>
            <w:vAlign w:val="bottom"/>
          </w:tcPr>
          <w:p w:rsidR="0086428B" w:rsidRPr="006E636F" w:rsidRDefault="0086428B" w:rsidP="0054771D">
            <w:pPr>
              <w:jc w:val="left"/>
              <w:rPr>
                <w:rFonts w:cs="Calibri"/>
                <w:b/>
                <w:bCs/>
                <w:color w:val="000000"/>
                <w:sz w:val="20"/>
                <w:szCs w:val="20"/>
                <w:lang w:eastAsia="pt-BR"/>
              </w:rPr>
            </w:pPr>
            <w:r w:rsidRPr="006E636F">
              <w:rPr>
                <w:rFonts w:cs="Calibri"/>
                <w:b/>
                <w:bCs/>
                <w:color w:val="000000"/>
                <w:sz w:val="20"/>
                <w:szCs w:val="20"/>
                <w:lang w:eastAsia="pt-BR"/>
              </w:rPr>
              <w:t>DEFINIÇÃO</w:t>
            </w:r>
          </w:p>
        </w:tc>
      </w:tr>
      <w:tr w:rsidR="0092709A" w:rsidRPr="006E636F" w:rsidTr="0092709A">
        <w:trPr>
          <w:trHeight w:val="300"/>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231F6C">
            <w:pPr>
              <w:jc w:val="left"/>
              <w:rPr>
                <w:rFonts w:cs="Calibri"/>
                <w:b/>
                <w:bCs/>
                <w:color w:val="000000"/>
                <w:sz w:val="20"/>
                <w:szCs w:val="20"/>
                <w:lang w:eastAsia="pt-BR"/>
              </w:rPr>
            </w:pPr>
            <w:r w:rsidRPr="006E636F">
              <w:rPr>
                <w:rFonts w:cs="Calibri"/>
                <w:b/>
                <w:bCs/>
                <w:color w:val="000000"/>
                <w:sz w:val="20"/>
                <w:szCs w:val="20"/>
                <w:lang w:eastAsia="pt-BR"/>
              </w:rPr>
              <w:t>Fundo do lote</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6E636F">
              <w:rPr>
                <w:rFonts w:cs="Calibri"/>
                <w:color w:val="000000"/>
                <w:sz w:val="20"/>
                <w:szCs w:val="20"/>
                <w:lang w:eastAsia="pt-BR"/>
              </w:rPr>
              <w:t>Divisa oposta à frente, sendo que:</w:t>
            </w:r>
          </w:p>
        </w:tc>
      </w:tr>
      <w:tr w:rsidR="0092709A" w:rsidRPr="006E636F" w:rsidTr="0092709A">
        <w:trPr>
          <w:trHeight w:val="600"/>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D2706E">
            <w:pPr>
              <w:jc w:val="left"/>
              <w:rPr>
                <w:rFonts w:cs="Calibri"/>
                <w:b/>
                <w:bCs/>
                <w:color w:val="000000"/>
                <w:sz w:val="20"/>
                <w:szCs w:val="20"/>
                <w:lang w:eastAsia="pt-BR"/>
              </w:rPr>
            </w:pPr>
            <w:r>
              <w:rPr>
                <w:rFonts w:cs="Calibri"/>
                <w:b/>
                <w:bCs/>
                <w:color w:val="000000"/>
                <w:sz w:val="20"/>
                <w:szCs w:val="20"/>
                <w:lang w:eastAsia="pt-BR"/>
              </w:rPr>
              <w:t>F</w:t>
            </w:r>
            <w:r w:rsidRPr="006E636F">
              <w:rPr>
                <w:rFonts w:cs="Calibri"/>
                <w:b/>
                <w:bCs/>
                <w:color w:val="000000"/>
                <w:sz w:val="20"/>
                <w:szCs w:val="20"/>
                <w:lang w:eastAsia="pt-BR"/>
              </w:rPr>
              <w:t>undo do lote</w:t>
            </w:r>
            <w:r w:rsidRPr="006E636F" w:rsidDel="00E828A2">
              <w:rPr>
                <w:rFonts w:cs="Calibri"/>
                <w:b/>
                <w:bCs/>
                <w:color w:val="000000"/>
                <w:sz w:val="20"/>
                <w:szCs w:val="20"/>
                <w:lang w:eastAsia="pt-BR"/>
              </w:rPr>
              <w:t xml:space="preserve"> </w:t>
            </w:r>
            <w:r w:rsidRPr="006E636F">
              <w:rPr>
                <w:rFonts w:cs="Calibri"/>
                <w:b/>
                <w:bCs/>
                <w:color w:val="000000"/>
                <w:sz w:val="20"/>
                <w:szCs w:val="20"/>
                <w:lang w:eastAsia="pt-BR"/>
              </w:rPr>
              <w:t>no caso de lotes de esquina</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proofErr w:type="gramStart"/>
            <w:r w:rsidRPr="006E636F">
              <w:rPr>
                <w:rFonts w:cs="Calibri"/>
                <w:color w:val="000000"/>
                <w:sz w:val="20"/>
                <w:szCs w:val="20"/>
                <w:lang w:eastAsia="pt-BR"/>
              </w:rPr>
              <w:t>é</w:t>
            </w:r>
            <w:proofErr w:type="gramEnd"/>
            <w:r w:rsidRPr="006E636F">
              <w:rPr>
                <w:rFonts w:cs="Calibri"/>
                <w:color w:val="000000"/>
                <w:sz w:val="20"/>
                <w:szCs w:val="20"/>
                <w:lang w:eastAsia="pt-BR"/>
              </w:rPr>
              <w:t xml:space="preserve"> o encontro de suas divisas laterais;</w:t>
            </w:r>
          </w:p>
        </w:tc>
      </w:tr>
      <w:tr w:rsidR="0092709A" w:rsidRPr="006E636F" w:rsidTr="0092709A">
        <w:trPr>
          <w:trHeight w:val="900"/>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D2706E">
            <w:pPr>
              <w:jc w:val="left"/>
              <w:rPr>
                <w:rFonts w:cs="Calibri"/>
                <w:b/>
                <w:bCs/>
                <w:color w:val="000000"/>
                <w:sz w:val="20"/>
                <w:szCs w:val="20"/>
                <w:lang w:eastAsia="pt-BR"/>
              </w:rPr>
            </w:pPr>
            <w:r>
              <w:rPr>
                <w:rFonts w:cs="Calibri"/>
                <w:b/>
                <w:bCs/>
                <w:color w:val="000000"/>
                <w:sz w:val="20"/>
                <w:szCs w:val="20"/>
                <w:lang w:eastAsia="pt-BR"/>
              </w:rPr>
              <w:t>F</w:t>
            </w:r>
            <w:r w:rsidRPr="006E636F">
              <w:rPr>
                <w:rFonts w:cs="Calibri"/>
                <w:b/>
                <w:bCs/>
                <w:color w:val="000000"/>
                <w:sz w:val="20"/>
                <w:szCs w:val="20"/>
                <w:lang w:eastAsia="pt-BR"/>
              </w:rPr>
              <w:t>undo do lote no caso de lotes de forma irregular ou de mais de uma frente</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proofErr w:type="gramStart"/>
            <w:r w:rsidRPr="006E636F">
              <w:rPr>
                <w:rFonts w:cs="Calibri"/>
                <w:color w:val="000000"/>
                <w:sz w:val="20"/>
                <w:szCs w:val="20"/>
                <w:lang w:eastAsia="pt-BR"/>
              </w:rPr>
              <w:t>é</w:t>
            </w:r>
            <w:proofErr w:type="gramEnd"/>
            <w:r w:rsidRPr="006E636F">
              <w:rPr>
                <w:rFonts w:cs="Calibri"/>
                <w:color w:val="000000"/>
                <w:sz w:val="20"/>
                <w:szCs w:val="20"/>
                <w:lang w:eastAsia="pt-BR"/>
              </w:rPr>
              <w:t xml:space="preserve"> definido de acordo com as condições estabelecidas em normas, expedidas pelo Executivo.</w:t>
            </w:r>
          </w:p>
        </w:tc>
      </w:tr>
      <w:tr w:rsidR="0092709A" w:rsidRPr="006E636F" w:rsidTr="0092709A">
        <w:trPr>
          <w:trHeight w:val="300"/>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231F6C">
            <w:pPr>
              <w:jc w:val="left"/>
              <w:rPr>
                <w:rFonts w:cs="Calibri"/>
                <w:b/>
                <w:bCs/>
                <w:sz w:val="20"/>
                <w:szCs w:val="20"/>
                <w:lang w:eastAsia="pt-BR"/>
              </w:rPr>
            </w:pPr>
            <w:r w:rsidRPr="006E636F">
              <w:rPr>
                <w:rFonts w:cs="Calibri"/>
                <w:b/>
                <w:bCs/>
                <w:sz w:val="20"/>
                <w:szCs w:val="20"/>
                <w:lang w:eastAsia="pt-BR"/>
              </w:rPr>
              <w:t>Gabarito de altura máximo</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sz w:val="20"/>
                <w:szCs w:val="20"/>
                <w:lang w:eastAsia="pt-BR"/>
              </w:rPr>
            </w:pPr>
            <w:r w:rsidRPr="006E636F">
              <w:rPr>
                <w:rFonts w:cs="Calibri"/>
                <w:sz w:val="20"/>
                <w:szCs w:val="20"/>
                <w:lang w:eastAsia="pt-BR"/>
              </w:rPr>
              <w:t xml:space="preserve">Altura da edificação, calculada pela distância entre o piso térreo e o ponto mais alto da cobertura. </w:t>
            </w:r>
          </w:p>
        </w:tc>
      </w:tr>
      <w:tr w:rsidR="0092709A" w:rsidRPr="006E636F" w:rsidTr="0092709A">
        <w:trPr>
          <w:trHeight w:val="47"/>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231F6C">
            <w:pPr>
              <w:jc w:val="left"/>
              <w:rPr>
                <w:rFonts w:cs="Calibri"/>
                <w:b/>
                <w:bCs/>
                <w:color w:val="000000"/>
                <w:sz w:val="20"/>
                <w:szCs w:val="20"/>
                <w:lang w:eastAsia="pt-BR"/>
              </w:rPr>
            </w:pPr>
            <w:r w:rsidRPr="006E636F">
              <w:rPr>
                <w:rFonts w:cs="Calibri"/>
                <w:b/>
                <w:bCs/>
                <w:color w:val="000000"/>
                <w:sz w:val="20"/>
                <w:szCs w:val="20"/>
                <w:lang w:eastAsia="pt-BR"/>
              </w:rPr>
              <w:t>Gleba</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6E636F">
              <w:rPr>
                <w:rFonts w:cs="Calibri"/>
                <w:color w:val="000000"/>
                <w:sz w:val="20"/>
                <w:szCs w:val="20"/>
                <w:lang w:eastAsia="pt-BR"/>
              </w:rPr>
              <w:t>Área de terra que não foi objeto de loteamento ou desmembramento.</w:t>
            </w:r>
          </w:p>
        </w:tc>
      </w:tr>
      <w:tr w:rsidR="0092709A"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Indivíduo arbóreo a ser plantado de porte grande</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 xml:space="preserve">Espécime vegetal lenhoso a ser plantado no lote com diâmetro do caule da muda à altura do peito (DAP) maior ou igual a 10cm (dez centímetros) e classificado como de grande porte de acordo com o Manual Técnico de Arborização Urbana (3ª Edição revisada e atualizada) da Secretaria Municipal do Verde e do Meio Ambiente e da Prefeitura do Município de São Paulo; </w:t>
            </w:r>
          </w:p>
        </w:tc>
      </w:tr>
      <w:tr w:rsidR="0092709A"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Indivíduo arbóreo a ser plantado de porte médio</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Espécime vegetal lenhoso a ser plantado no lote com diâmetro do caule da muda à altura do peito (DAP) maior ou igual a 7cm (sete centímetros) e classificado como de médio porte de acordo com o Manual Técnico de Arborização Urbana (3ª Edição revisada e atualizada) da Secretaria Municipal do Verde e do Meio Ambiente e da Prefeitura do Município de São Paulo;</w:t>
            </w:r>
          </w:p>
        </w:tc>
      </w:tr>
      <w:tr w:rsidR="0092709A"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Indivíduo arbóreo a ser plantado de porte pequeno</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Espécime vegetal lenhoso a ser plantado no lote com diâmetro do caule da muda à altura do peito (DAP) igual ou superior a 5cm (cinco centímetros) e classificado como de pequeno porte de acordo com o Manual Técnico de Arborização Urbana (3ª Edição revisada e atualizada) da Secretaria Municipal do Verde e do Meio Ambiente e da Prefeitura do Município de São Paulo;</w:t>
            </w:r>
          </w:p>
        </w:tc>
      </w:tr>
      <w:tr w:rsidR="0092709A"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Indivíduo arbóreo existente de pequeno porte e com DAP entre 20 e 30cm</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 xml:space="preserve">Espécime vegetal lenhoso existente no lote com diâmetro do caule à altura do peito (DAP) maior do que 20 e menor ou igual a </w:t>
            </w:r>
            <w:smartTag w:uri="urn:schemas-microsoft-com:office:smarttags" w:element="metricconverter">
              <w:smartTagPr>
                <w:attr w:name="ProductID" w:val="30 cm"/>
              </w:smartTagPr>
              <w:r w:rsidRPr="00FA072B">
                <w:rPr>
                  <w:rFonts w:cs="Calibri"/>
                  <w:bCs/>
                  <w:color w:val="000000"/>
                  <w:sz w:val="20"/>
                  <w:szCs w:val="20"/>
                </w:rPr>
                <w:t>30 cm</w:t>
              </w:r>
            </w:smartTag>
            <w:r w:rsidRPr="00FA072B">
              <w:rPr>
                <w:rFonts w:cs="Calibri"/>
                <w:bCs/>
                <w:color w:val="000000"/>
                <w:sz w:val="20"/>
                <w:szCs w:val="20"/>
              </w:rPr>
              <w:t xml:space="preserve"> e classificado como de pequeno porte de acordo com o Manual Técnico de Arborização Urbana (3ª Edição revisada e atualizada) da Secretaria Municipal do Verde e do Meio Ambiente e da Prefeitura do Município de São Paulo;</w:t>
            </w:r>
          </w:p>
        </w:tc>
      </w:tr>
      <w:tr w:rsidR="0092709A"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Indivíduo arbóreo existente de médio porte e com DAP entre 30 e 40cm</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 xml:space="preserve">Espécime vegetal lenhoso existente no lote com diâmetro do caule à altura do peito (DAP) maior do que 30 e menor ou igual a </w:t>
            </w:r>
            <w:smartTag w:uri="urn:schemas-microsoft-com:office:smarttags" w:element="metricconverter">
              <w:smartTagPr>
                <w:attr w:name="ProductID" w:val="40 cm"/>
              </w:smartTagPr>
              <w:r w:rsidRPr="00FA072B">
                <w:rPr>
                  <w:rFonts w:cs="Calibri"/>
                  <w:bCs/>
                  <w:color w:val="000000"/>
                  <w:sz w:val="20"/>
                  <w:szCs w:val="20"/>
                </w:rPr>
                <w:t>40 cm</w:t>
              </w:r>
            </w:smartTag>
            <w:r w:rsidRPr="00FA072B">
              <w:rPr>
                <w:rFonts w:cs="Calibri"/>
                <w:bCs/>
                <w:color w:val="000000"/>
                <w:sz w:val="20"/>
                <w:szCs w:val="20"/>
              </w:rPr>
              <w:t xml:space="preserve"> e classificado como de médio porte de acordo com o Manual Técnico de Arborização Urbana (3ª Edição revisada e atualizada) da Secretaria Municipal do Verde e do Meio Ambiente e da Prefeitura do Município de São Paulo;</w:t>
            </w:r>
          </w:p>
        </w:tc>
      </w:tr>
      <w:tr w:rsidR="0092709A" w:rsidRPr="006E636F" w:rsidTr="0092709A">
        <w:trPr>
          <w:trHeight w:val="367"/>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Indivíduo arbóreo existente de grande porte e com DAP maior que 40cm</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 xml:space="preserve">Espécime vegetal lenhoso existente no lote com diâmetro do caule à altura do peito (DAP) maior do que </w:t>
            </w:r>
            <w:smartTag w:uri="urn:schemas-microsoft-com:office:smarttags" w:element="metricconverter">
              <w:smartTagPr>
                <w:attr w:name="ProductID" w:val="40 cm"/>
              </w:smartTagPr>
              <w:r w:rsidRPr="00FA072B">
                <w:rPr>
                  <w:rFonts w:cs="Calibri"/>
                  <w:bCs/>
                  <w:color w:val="000000"/>
                  <w:sz w:val="20"/>
                  <w:szCs w:val="20"/>
                </w:rPr>
                <w:t>40 cm</w:t>
              </w:r>
            </w:smartTag>
            <w:r w:rsidRPr="00FA072B">
              <w:rPr>
                <w:rFonts w:cs="Calibri"/>
                <w:bCs/>
                <w:color w:val="000000"/>
                <w:sz w:val="20"/>
                <w:szCs w:val="20"/>
              </w:rPr>
              <w:t xml:space="preserve"> e classificado como de grande porte de acordo com o Manual Técnico de Arborização Urbana (3ª Edição revisada e atualizada) da Secretaria Municipal do Verde e do Meio Ambiente e da Prefeitura do Município de São Paulo;</w:t>
            </w:r>
          </w:p>
        </w:tc>
      </w:tr>
      <w:tr w:rsidR="0092709A" w:rsidRPr="006E636F" w:rsidTr="0092709A">
        <w:trPr>
          <w:trHeight w:val="367"/>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rPr>
            </w:pPr>
            <w:r w:rsidRPr="00ED4694">
              <w:rPr>
                <w:rFonts w:cs="Calibri"/>
                <w:b/>
                <w:bCs/>
                <w:color w:val="000000"/>
                <w:sz w:val="20"/>
                <w:szCs w:val="20"/>
              </w:rPr>
              <w:t>Jardim vertical</w:t>
            </w:r>
          </w:p>
        </w:tc>
        <w:tc>
          <w:tcPr>
            <w:tcW w:w="9200" w:type="dxa"/>
            <w:tcBorders>
              <w:top w:val="nil"/>
              <w:left w:val="nil"/>
              <w:bottom w:val="single" w:sz="4" w:space="0" w:color="auto"/>
              <w:right w:val="single" w:sz="8" w:space="0" w:color="auto"/>
            </w:tcBorders>
            <w:shd w:val="clear" w:color="000000" w:fill="FFFFFF"/>
            <w:vAlign w:val="center"/>
          </w:tcPr>
          <w:p w:rsidR="0092709A" w:rsidRPr="00FA072B" w:rsidRDefault="0092709A" w:rsidP="00231F6C">
            <w:pPr>
              <w:jc w:val="left"/>
              <w:rPr>
                <w:rFonts w:cs="Calibri"/>
                <w:bCs/>
                <w:color w:val="000000"/>
                <w:sz w:val="20"/>
                <w:szCs w:val="20"/>
              </w:rPr>
            </w:pPr>
            <w:r w:rsidRPr="00FA072B">
              <w:rPr>
                <w:rFonts w:cs="Calibri"/>
                <w:bCs/>
                <w:color w:val="000000"/>
                <w:sz w:val="20"/>
                <w:szCs w:val="20"/>
              </w:rPr>
              <w:t>Face externa de uma edificação ou muro de vedação do lote revestido de vegetação através do uso de estruturas intermediárias de suporte da vegetação, (como vasos, molduras, quadros, painéis) dentre outras opções;</w:t>
            </w:r>
          </w:p>
        </w:tc>
      </w:tr>
    </w:tbl>
    <w:p w:rsidR="0086428B" w:rsidRDefault="0086428B" w:rsidP="0086428B">
      <w:pPr>
        <w:rPr>
          <w:b/>
          <w:sz w:val="20"/>
          <w:szCs w:val="20"/>
        </w:rPr>
      </w:pPr>
      <w:r w:rsidRPr="006E636F">
        <w:rPr>
          <w:b/>
          <w:sz w:val="20"/>
          <w:szCs w:val="20"/>
          <w:lang w:eastAsia="pt-BR"/>
        </w:rPr>
        <w:t xml:space="preserve">Quadro 1 </w:t>
      </w:r>
      <w:r>
        <w:rPr>
          <w:b/>
          <w:sz w:val="20"/>
          <w:szCs w:val="20"/>
          <w:lang w:eastAsia="pt-BR"/>
        </w:rPr>
        <w:t>-</w:t>
      </w:r>
      <w:r w:rsidRPr="006E636F">
        <w:rPr>
          <w:b/>
          <w:sz w:val="20"/>
          <w:szCs w:val="20"/>
          <w:lang w:eastAsia="pt-BR"/>
        </w:rPr>
        <w:t xml:space="preserve"> Conceitos e definições | </w:t>
      </w:r>
      <w:r>
        <w:rPr>
          <w:b/>
          <w:sz w:val="20"/>
          <w:szCs w:val="20"/>
        </w:rPr>
        <w:t xml:space="preserve">Folha 5 de </w:t>
      </w:r>
      <w:r w:rsidR="00213DA7">
        <w:rPr>
          <w:b/>
          <w:sz w:val="20"/>
          <w:szCs w:val="20"/>
        </w:rPr>
        <w:t>6</w:t>
      </w:r>
    </w:p>
    <w:p w:rsidR="0086428B" w:rsidRDefault="0086428B"/>
    <w:tbl>
      <w:tblPr>
        <w:tblW w:w="11775" w:type="dxa"/>
        <w:tblInd w:w="55" w:type="dxa"/>
        <w:tblCellMar>
          <w:left w:w="70" w:type="dxa"/>
          <w:right w:w="70" w:type="dxa"/>
        </w:tblCellMar>
        <w:tblLook w:val="04A0" w:firstRow="1" w:lastRow="0" w:firstColumn="1" w:lastColumn="0" w:noHBand="0" w:noVBand="1"/>
      </w:tblPr>
      <w:tblGrid>
        <w:gridCol w:w="2575"/>
        <w:gridCol w:w="9200"/>
      </w:tblGrid>
      <w:tr w:rsidR="0086428B" w:rsidRPr="006E636F"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86428B" w:rsidRPr="006E636F" w:rsidRDefault="0086428B" w:rsidP="0054771D">
            <w:pPr>
              <w:jc w:val="left"/>
              <w:rPr>
                <w:rFonts w:cs="Calibri"/>
                <w:b/>
                <w:bCs/>
                <w:color w:val="000000"/>
                <w:sz w:val="20"/>
                <w:szCs w:val="20"/>
                <w:lang w:eastAsia="pt-BR"/>
              </w:rPr>
            </w:pPr>
            <w:r w:rsidRPr="006E636F">
              <w:rPr>
                <w:rFonts w:cs="Calibri"/>
                <w:b/>
                <w:bCs/>
                <w:color w:val="000000"/>
                <w:sz w:val="20"/>
                <w:szCs w:val="20"/>
                <w:lang w:eastAsia="pt-BR"/>
              </w:rPr>
              <w:t>CONCEITO</w:t>
            </w:r>
          </w:p>
        </w:tc>
        <w:tc>
          <w:tcPr>
            <w:tcW w:w="9200" w:type="dxa"/>
            <w:tcBorders>
              <w:top w:val="single" w:sz="8" w:space="0" w:color="auto"/>
              <w:left w:val="nil"/>
              <w:bottom w:val="single" w:sz="8" w:space="0" w:color="auto"/>
              <w:right w:val="single" w:sz="8" w:space="0" w:color="auto"/>
            </w:tcBorders>
            <w:shd w:val="clear" w:color="000000" w:fill="C0C0C0"/>
            <w:noWrap/>
            <w:vAlign w:val="bottom"/>
          </w:tcPr>
          <w:p w:rsidR="0086428B" w:rsidRPr="006E636F" w:rsidRDefault="0086428B" w:rsidP="0054771D">
            <w:pPr>
              <w:jc w:val="left"/>
              <w:rPr>
                <w:rFonts w:cs="Calibri"/>
                <w:b/>
                <w:bCs/>
                <w:color w:val="000000"/>
                <w:sz w:val="20"/>
                <w:szCs w:val="20"/>
                <w:lang w:eastAsia="pt-BR"/>
              </w:rPr>
            </w:pPr>
            <w:r w:rsidRPr="006E636F">
              <w:rPr>
                <w:rFonts w:cs="Calibri"/>
                <w:b/>
                <w:bCs/>
                <w:color w:val="000000"/>
                <w:sz w:val="20"/>
                <w:szCs w:val="20"/>
                <w:lang w:eastAsia="pt-BR"/>
              </w:rPr>
              <w:t>DEFINIÇÃO</w:t>
            </w:r>
          </w:p>
        </w:tc>
      </w:tr>
      <w:tr w:rsidR="0092709A" w:rsidRPr="006E636F" w:rsidTr="0092709A">
        <w:trPr>
          <w:trHeight w:val="300"/>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231F6C">
            <w:pPr>
              <w:jc w:val="left"/>
              <w:rPr>
                <w:rFonts w:cs="Calibri"/>
                <w:b/>
                <w:bCs/>
                <w:sz w:val="20"/>
                <w:szCs w:val="20"/>
                <w:lang w:eastAsia="pt-BR"/>
              </w:rPr>
            </w:pPr>
            <w:r w:rsidRPr="006E636F">
              <w:rPr>
                <w:rFonts w:cs="Calibri"/>
                <w:b/>
                <w:bCs/>
                <w:sz w:val="20"/>
                <w:szCs w:val="20"/>
                <w:lang w:eastAsia="pt-BR"/>
              </w:rPr>
              <w:t>Largura da via</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sz w:val="20"/>
                <w:szCs w:val="20"/>
                <w:lang w:eastAsia="pt-BR"/>
              </w:rPr>
            </w:pPr>
            <w:r w:rsidRPr="006E636F">
              <w:rPr>
                <w:rFonts w:cs="Calibri"/>
                <w:sz w:val="20"/>
                <w:szCs w:val="20"/>
                <w:lang w:eastAsia="pt-BR"/>
              </w:rPr>
              <w:t>Distância entre os alinhamentos dos lotes, englobando leito carroçável e o passeio público.</w:t>
            </w:r>
          </w:p>
        </w:tc>
      </w:tr>
      <w:tr w:rsidR="0092709A" w:rsidRPr="006E636F" w:rsidTr="0092709A">
        <w:trPr>
          <w:trHeight w:val="600"/>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231F6C">
            <w:pPr>
              <w:jc w:val="left"/>
              <w:rPr>
                <w:rFonts w:cs="Calibri"/>
                <w:b/>
                <w:bCs/>
                <w:sz w:val="20"/>
                <w:szCs w:val="20"/>
                <w:lang w:eastAsia="pt-BR"/>
              </w:rPr>
            </w:pPr>
            <w:r w:rsidRPr="006E636F">
              <w:rPr>
                <w:rFonts w:cs="Calibri"/>
                <w:b/>
                <w:bCs/>
                <w:sz w:val="20"/>
                <w:szCs w:val="20"/>
                <w:lang w:eastAsia="pt-BR"/>
              </w:rPr>
              <w:t>Limite de vedação da testada do lote com muros</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sz w:val="20"/>
                <w:szCs w:val="20"/>
                <w:lang w:eastAsia="pt-BR"/>
              </w:rPr>
            </w:pPr>
            <w:r w:rsidRPr="006E636F">
              <w:rPr>
                <w:rFonts w:cs="Calibri"/>
                <w:sz w:val="20"/>
                <w:szCs w:val="20"/>
                <w:lang w:eastAsia="pt-BR"/>
              </w:rPr>
              <w:t>Limite da extensão do fechamento do lote por anteparo vertical vedado, de modo a possibilitar permeabilidade visual do lote.</w:t>
            </w:r>
          </w:p>
        </w:tc>
      </w:tr>
      <w:tr w:rsidR="0092709A" w:rsidRPr="006E636F" w:rsidTr="0092709A">
        <w:trPr>
          <w:trHeight w:val="440"/>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231F6C">
            <w:pPr>
              <w:jc w:val="left"/>
              <w:rPr>
                <w:rFonts w:cs="Calibri"/>
                <w:b/>
                <w:bCs/>
                <w:color w:val="000000"/>
                <w:sz w:val="20"/>
                <w:szCs w:val="20"/>
                <w:lang w:eastAsia="pt-BR"/>
              </w:rPr>
            </w:pPr>
            <w:r w:rsidRPr="006E636F">
              <w:rPr>
                <w:rFonts w:cs="Calibri"/>
                <w:b/>
                <w:bCs/>
                <w:color w:val="000000"/>
                <w:sz w:val="20"/>
                <w:szCs w:val="20"/>
                <w:lang w:eastAsia="pt-BR"/>
              </w:rPr>
              <w:t>Lote</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6E636F">
              <w:rPr>
                <w:rFonts w:cs="Calibri"/>
                <w:color w:val="000000"/>
                <w:sz w:val="20"/>
                <w:szCs w:val="20"/>
                <w:lang w:eastAsia="pt-BR"/>
              </w:rPr>
              <w:t>Área resultante de loteamento, desmembramento ou desdobro, com pelo menos uma divisa com frente para via oficial de circulação.</w:t>
            </w:r>
          </w:p>
        </w:tc>
      </w:tr>
      <w:tr w:rsidR="0092709A" w:rsidRPr="006E636F" w:rsidTr="0092709A">
        <w:trPr>
          <w:trHeight w:val="97"/>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6E636F" w:rsidRDefault="0092709A" w:rsidP="00231F6C">
            <w:pPr>
              <w:jc w:val="left"/>
              <w:rPr>
                <w:rFonts w:cs="Calibri"/>
                <w:b/>
                <w:bCs/>
                <w:color w:val="000000"/>
                <w:sz w:val="20"/>
                <w:szCs w:val="20"/>
                <w:lang w:eastAsia="pt-BR"/>
              </w:rPr>
            </w:pPr>
            <w:r w:rsidRPr="006E636F">
              <w:rPr>
                <w:rFonts w:cs="Calibri"/>
                <w:b/>
                <w:bCs/>
                <w:color w:val="000000"/>
                <w:sz w:val="20"/>
                <w:szCs w:val="20"/>
                <w:lang w:eastAsia="pt-BR"/>
              </w:rPr>
              <w:t>Loteamento</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6E636F">
              <w:rPr>
                <w:rFonts w:cs="Calibri"/>
                <w:color w:val="000000"/>
                <w:sz w:val="20"/>
                <w:szCs w:val="20"/>
                <w:lang w:eastAsia="pt-BR"/>
              </w:rPr>
              <w:t>Subdivisão de glebas em lotes destinados a edificação, com abertura de novas vias de circulação, de logradouros públicos ou prolongamento, modificação ou ampliação das vias existentes.</w:t>
            </w:r>
          </w:p>
        </w:tc>
      </w:tr>
      <w:tr w:rsidR="0092709A" w:rsidRPr="006E636F" w:rsidTr="0092709A">
        <w:trPr>
          <w:trHeight w:val="92"/>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Maciço arbóreo</w:t>
            </w:r>
          </w:p>
        </w:tc>
        <w:tc>
          <w:tcPr>
            <w:tcW w:w="9200" w:type="dxa"/>
            <w:tcBorders>
              <w:top w:val="nil"/>
              <w:left w:val="nil"/>
              <w:bottom w:val="single" w:sz="4" w:space="0" w:color="auto"/>
              <w:right w:val="single" w:sz="8" w:space="0" w:color="auto"/>
            </w:tcBorders>
            <w:shd w:val="clear" w:color="000000" w:fill="FFFFFF"/>
            <w:vAlign w:val="center"/>
          </w:tcPr>
          <w:p w:rsidR="0092709A" w:rsidRPr="00C408D4" w:rsidRDefault="0092709A" w:rsidP="00231F6C">
            <w:pPr>
              <w:jc w:val="left"/>
              <w:rPr>
                <w:rFonts w:cs="Calibri"/>
                <w:color w:val="000000"/>
                <w:sz w:val="20"/>
                <w:szCs w:val="20"/>
                <w:lang w:eastAsia="pt-BR"/>
              </w:rPr>
            </w:pPr>
            <w:r w:rsidRPr="00C408D4">
              <w:rPr>
                <w:rFonts w:cs="Calibri"/>
                <w:bCs/>
                <w:sz w:val="20"/>
                <w:szCs w:val="20"/>
              </w:rPr>
              <w:t>Agrupamento com no mínimo 15 arvores de espécies nativas ou exóticas, que vivem em determinada área, que guardam relação entre si e as demais espécies vegetais do local, tendo uma área mínima de 500m² de projeção contínua de copa</w:t>
            </w:r>
          </w:p>
        </w:tc>
      </w:tr>
      <w:tr w:rsidR="0092709A" w:rsidRPr="006E636F" w:rsidTr="0092709A">
        <w:trPr>
          <w:trHeight w:val="92"/>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Medidas de controle do escoamento superficial na fonte</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Medidas destinadas a promover no lote infiltração, percolação ou interceptação das águas pluviais ou realizar controle na entrada em superfícies do lote tais como estacionamentos e coberturas.</w:t>
            </w:r>
          </w:p>
        </w:tc>
      </w:tr>
      <w:tr w:rsidR="0092709A" w:rsidRPr="006E636F" w:rsidTr="0092709A">
        <w:trPr>
          <w:trHeight w:val="92"/>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Palmeira a ser plantada</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Palmeira a ser plantada no lote com diâmetro do caule da muda à altura do peito (DAP) igual ou superior a 5cm (cinco centímetros), de acordo com o Manual Técnico de Arborização Urbana (3ª Edição revisada e atualizada) da Secretaria Municipal do Verde e do Meio Ambiente e da Prefeitura do Município de São Paulo;</w:t>
            </w:r>
          </w:p>
        </w:tc>
      </w:tr>
      <w:tr w:rsidR="0092709A" w:rsidRPr="006E636F" w:rsidTr="0092709A">
        <w:trPr>
          <w:trHeight w:val="92"/>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Palmeira existente</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 xml:space="preserve">Palmeira existente no lote com diâmetro do caule à altura do peito (DAP) maior do que </w:t>
            </w:r>
            <w:smartTag w:uri="urn:schemas-microsoft-com:office:smarttags" w:element="metricconverter">
              <w:smartTagPr>
                <w:attr w:name="ProductID" w:val="10 cm"/>
              </w:smartTagPr>
              <w:r w:rsidRPr="00FA072B">
                <w:rPr>
                  <w:rFonts w:cs="Calibri"/>
                  <w:bCs/>
                  <w:color w:val="000000"/>
                  <w:sz w:val="20"/>
                  <w:szCs w:val="20"/>
                </w:rPr>
                <w:t>10 cm</w:t>
              </w:r>
            </w:smartTag>
            <w:r w:rsidRPr="00FA072B">
              <w:rPr>
                <w:rFonts w:cs="Calibri"/>
                <w:bCs/>
                <w:color w:val="000000"/>
                <w:sz w:val="20"/>
                <w:szCs w:val="20"/>
              </w:rPr>
              <w:t xml:space="preserve"> (dez centímetros), de acordo o Manual Técnico de Arborização Urbana (3ª Edição revisada e atualizada) da Secretaria Municipal do Verde e do Meio Ambiente e da Prefeitura do Município de São Paulo;</w:t>
            </w:r>
          </w:p>
        </w:tc>
      </w:tr>
      <w:tr w:rsidR="0092709A" w:rsidRPr="006E636F" w:rsidTr="0092709A">
        <w:trPr>
          <w:trHeight w:val="200"/>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Pavimento poroso</w:t>
            </w:r>
          </w:p>
        </w:tc>
        <w:tc>
          <w:tcPr>
            <w:tcW w:w="9200" w:type="dxa"/>
            <w:tcBorders>
              <w:top w:val="nil"/>
              <w:left w:val="nil"/>
              <w:bottom w:val="single" w:sz="4" w:space="0" w:color="auto"/>
              <w:right w:val="single" w:sz="8" w:space="0" w:color="auto"/>
            </w:tcBorders>
            <w:shd w:val="clear" w:color="000000" w:fill="FFFFFF"/>
            <w:vAlign w:val="center"/>
          </w:tcPr>
          <w:p w:rsidR="0092709A" w:rsidRPr="00C408D4" w:rsidRDefault="0092709A" w:rsidP="00231F6C">
            <w:pPr>
              <w:jc w:val="left"/>
              <w:rPr>
                <w:rFonts w:cs="Calibri"/>
                <w:color w:val="000000"/>
                <w:sz w:val="20"/>
                <w:szCs w:val="20"/>
                <w:lang w:eastAsia="pt-BR"/>
              </w:rPr>
            </w:pPr>
            <w:r w:rsidRPr="00C408D4">
              <w:rPr>
                <w:rFonts w:cs="Calibri"/>
                <w:bCs/>
                <w:color w:val="000000"/>
                <w:sz w:val="20"/>
                <w:szCs w:val="20"/>
              </w:rPr>
              <w:t xml:space="preserve">Superfície constituída de material cuja porosidade, em combinação com uma </w:t>
            </w:r>
            <w:proofErr w:type="gramStart"/>
            <w:r w:rsidRPr="00C408D4">
              <w:rPr>
                <w:rFonts w:cs="Calibri"/>
                <w:bCs/>
                <w:color w:val="000000"/>
                <w:sz w:val="20"/>
                <w:szCs w:val="20"/>
              </w:rPr>
              <w:t>sub base</w:t>
            </w:r>
            <w:proofErr w:type="gramEnd"/>
            <w:r w:rsidRPr="00C408D4">
              <w:rPr>
                <w:rFonts w:cs="Calibri"/>
                <w:bCs/>
                <w:color w:val="000000"/>
                <w:sz w:val="20"/>
                <w:szCs w:val="20"/>
              </w:rPr>
              <w:t xml:space="preserve"> de pedras de granulometria diferenciada, assegura a retenção temporária das águas, seguido de drenagem e se possível, infiltração, no solo do subleito.</w:t>
            </w:r>
          </w:p>
        </w:tc>
      </w:tr>
      <w:tr w:rsidR="0092709A" w:rsidRPr="006E636F" w:rsidTr="0092709A">
        <w:trPr>
          <w:trHeight w:val="199"/>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Del="00ED4694" w:rsidRDefault="0092709A" w:rsidP="00231F6C">
            <w:pPr>
              <w:jc w:val="left"/>
              <w:rPr>
                <w:rFonts w:cs="Calibri"/>
                <w:b/>
                <w:bCs/>
                <w:color w:val="000000"/>
                <w:sz w:val="20"/>
                <w:szCs w:val="20"/>
                <w:lang w:eastAsia="pt-BR"/>
              </w:rPr>
            </w:pPr>
            <w:r w:rsidRPr="00ED4694">
              <w:rPr>
                <w:rFonts w:cs="Calibri"/>
                <w:b/>
                <w:color w:val="000000"/>
                <w:sz w:val="20"/>
                <w:szCs w:val="20"/>
              </w:rPr>
              <w:t xml:space="preserve">Pavimento semipermeável com vegetação sobre solo natural </w:t>
            </w:r>
          </w:p>
        </w:tc>
        <w:tc>
          <w:tcPr>
            <w:tcW w:w="9200" w:type="dxa"/>
            <w:tcBorders>
              <w:top w:val="nil"/>
              <w:left w:val="nil"/>
              <w:bottom w:val="single" w:sz="4" w:space="0" w:color="auto"/>
              <w:right w:val="single" w:sz="8" w:space="0" w:color="auto"/>
            </w:tcBorders>
            <w:shd w:val="clear" w:color="000000" w:fill="FFFFFF"/>
          </w:tcPr>
          <w:p w:rsidR="0092709A" w:rsidRPr="006E636F" w:rsidDel="00ED4694" w:rsidRDefault="0092709A" w:rsidP="00231F6C">
            <w:pPr>
              <w:jc w:val="left"/>
              <w:rPr>
                <w:rFonts w:cs="Calibri"/>
                <w:color w:val="000000"/>
                <w:sz w:val="20"/>
                <w:szCs w:val="20"/>
                <w:lang w:eastAsia="pt-BR"/>
              </w:rPr>
            </w:pPr>
            <w:r w:rsidRPr="00FA072B">
              <w:rPr>
                <w:rFonts w:cs="Calibri"/>
                <w:sz w:val="20"/>
                <w:szCs w:val="20"/>
              </w:rPr>
              <w:t xml:space="preserve">Pavimento vazado que permite o plantio de forração, geralmente grama, que permite a infiltração de água no solo através de suas juntas. Para ser </w:t>
            </w:r>
            <w:proofErr w:type="gramStart"/>
            <w:r w:rsidRPr="00FA072B">
              <w:rPr>
                <w:rFonts w:cs="Calibri"/>
                <w:sz w:val="20"/>
                <w:szCs w:val="20"/>
              </w:rPr>
              <w:t>considerado</w:t>
            </w:r>
            <w:proofErr w:type="gramEnd"/>
            <w:r w:rsidRPr="00FA072B">
              <w:rPr>
                <w:rFonts w:cs="Calibri"/>
                <w:sz w:val="20"/>
                <w:szCs w:val="20"/>
              </w:rPr>
              <w:t xml:space="preserve"> como pavimento semipermeável, a área correspondente ao percentual efetivo de permeabilidade deverá ser no mínimo de 50% de cada peça;</w:t>
            </w:r>
          </w:p>
        </w:tc>
      </w:tr>
      <w:tr w:rsidR="0092709A" w:rsidRPr="006E636F" w:rsidTr="0092709A">
        <w:trPr>
          <w:trHeight w:val="199"/>
        </w:trPr>
        <w:tc>
          <w:tcPr>
            <w:tcW w:w="2575" w:type="dxa"/>
            <w:tcBorders>
              <w:top w:val="nil"/>
              <w:left w:val="single" w:sz="8" w:space="0" w:color="auto"/>
              <w:bottom w:val="single" w:sz="4" w:space="0" w:color="auto"/>
              <w:right w:val="single" w:sz="4" w:space="0" w:color="auto"/>
            </w:tcBorders>
            <w:shd w:val="clear" w:color="000000" w:fill="FFFFFF"/>
            <w:vAlign w:val="center"/>
          </w:tcPr>
          <w:p w:rsidR="0092709A" w:rsidRPr="00ED4694" w:rsidDel="00ED4694" w:rsidRDefault="0092709A" w:rsidP="00231F6C">
            <w:pPr>
              <w:jc w:val="left"/>
              <w:rPr>
                <w:rFonts w:cs="Calibri"/>
                <w:b/>
                <w:bCs/>
                <w:color w:val="000000"/>
                <w:sz w:val="20"/>
                <w:szCs w:val="20"/>
                <w:lang w:eastAsia="pt-BR"/>
              </w:rPr>
            </w:pPr>
            <w:r w:rsidRPr="00ED4694">
              <w:rPr>
                <w:rFonts w:cs="Calibri"/>
                <w:b/>
                <w:bCs/>
                <w:color w:val="000000"/>
                <w:sz w:val="20"/>
                <w:szCs w:val="20"/>
              </w:rPr>
              <w:t>Pavimento semipermeável sem vegetação</w:t>
            </w:r>
          </w:p>
        </w:tc>
        <w:tc>
          <w:tcPr>
            <w:tcW w:w="9200" w:type="dxa"/>
            <w:tcBorders>
              <w:top w:val="nil"/>
              <w:left w:val="nil"/>
              <w:bottom w:val="single" w:sz="4" w:space="0" w:color="auto"/>
              <w:right w:val="single" w:sz="8" w:space="0" w:color="auto"/>
            </w:tcBorders>
            <w:shd w:val="clear" w:color="000000" w:fill="FFFFFF"/>
            <w:vAlign w:val="center"/>
          </w:tcPr>
          <w:p w:rsidR="0092709A" w:rsidRPr="006E636F" w:rsidDel="00ED4694" w:rsidRDefault="0092709A" w:rsidP="00231F6C">
            <w:pPr>
              <w:jc w:val="left"/>
              <w:rPr>
                <w:rFonts w:cs="Calibri"/>
                <w:color w:val="000000"/>
                <w:sz w:val="20"/>
                <w:szCs w:val="20"/>
                <w:lang w:eastAsia="pt-BR"/>
              </w:rPr>
            </w:pPr>
            <w:r w:rsidRPr="00FA072B">
              <w:rPr>
                <w:rFonts w:cs="Calibri"/>
                <w:bCs/>
                <w:color w:val="000000"/>
                <w:sz w:val="20"/>
                <w:szCs w:val="20"/>
              </w:rPr>
              <w:t>Pavimentos que por sua constituição e forma de instalação não promovam a impermeabilização total do solo, seja pelo uso de juntas secas, seja pela constituição porosa de cada peça, permitindo a infiltração de água;</w:t>
            </w:r>
          </w:p>
        </w:tc>
      </w:tr>
      <w:tr w:rsidR="0092709A" w:rsidRPr="006E636F" w:rsidTr="0092709A">
        <w:trPr>
          <w:trHeight w:val="101"/>
        </w:trPr>
        <w:tc>
          <w:tcPr>
            <w:tcW w:w="2575"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6E636F" w:rsidRDefault="0092709A" w:rsidP="00231F6C">
            <w:pPr>
              <w:jc w:val="left"/>
              <w:rPr>
                <w:rFonts w:cs="Calibri"/>
                <w:b/>
                <w:bCs/>
                <w:color w:val="000000"/>
                <w:sz w:val="20"/>
                <w:szCs w:val="20"/>
                <w:lang w:eastAsia="pt-BR"/>
              </w:rPr>
            </w:pPr>
            <w:r w:rsidRPr="006E636F">
              <w:rPr>
                <w:rFonts w:cs="Calibri"/>
                <w:b/>
                <w:bCs/>
                <w:color w:val="000000"/>
                <w:sz w:val="20"/>
                <w:szCs w:val="20"/>
                <w:lang w:eastAsia="pt-BR"/>
              </w:rPr>
              <w:t xml:space="preserve">Pavimento térreo </w:t>
            </w:r>
          </w:p>
        </w:tc>
        <w:tc>
          <w:tcPr>
            <w:tcW w:w="9200" w:type="dxa"/>
            <w:tcBorders>
              <w:top w:val="single" w:sz="4" w:space="0" w:color="auto"/>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6E636F">
              <w:rPr>
                <w:rFonts w:cs="Calibri"/>
                <w:color w:val="000000"/>
                <w:sz w:val="20"/>
                <w:szCs w:val="20"/>
                <w:lang w:eastAsia="pt-BR"/>
              </w:rPr>
              <w:t>Onde está situado o acesso principal da edificação, segundo critérios estabelecidos nesta lei.</w:t>
            </w:r>
          </w:p>
        </w:tc>
      </w:tr>
      <w:tr w:rsidR="0092709A" w:rsidRPr="006E636F" w:rsidTr="0092709A">
        <w:trPr>
          <w:trHeight w:val="99"/>
        </w:trPr>
        <w:tc>
          <w:tcPr>
            <w:tcW w:w="2575"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Perímetro de qualificação ambiental</w:t>
            </w:r>
          </w:p>
        </w:tc>
        <w:tc>
          <w:tcPr>
            <w:tcW w:w="9200" w:type="dxa"/>
            <w:tcBorders>
              <w:top w:val="single" w:sz="4" w:space="0" w:color="auto"/>
              <w:left w:val="nil"/>
              <w:bottom w:val="single" w:sz="4" w:space="0" w:color="auto"/>
              <w:right w:val="single" w:sz="8" w:space="0" w:color="auto"/>
            </w:tcBorders>
            <w:shd w:val="clear" w:color="000000" w:fill="FFFFFF"/>
            <w:vAlign w:val="center"/>
          </w:tcPr>
          <w:p w:rsidR="0092709A" w:rsidRPr="006E636F" w:rsidRDefault="0092709A" w:rsidP="00231F6C">
            <w:pPr>
              <w:jc w:val="left"/>
              <w:rPr>
                <w:rFonts w:cs="Calibri"/>
                <w:color w:val="000000"/>
                <w:sz w:val="20"/>
                <w:szCs w:val="20"/>
                <w:lang w:eastAsia="pt-BR"/>
              </w:rPr>
            </w:pPr>
            <w:r w:rsidRPr="00FA072B">
              <w:rPr>
                <w:rFonts w:cs="Calibri"/>
                <w:bCs/>
                <w:color w:val="000000"/>
                <w:sz w:val="20"/>
                <w:szCs w:val="20"/>
              </w:rPr>
              <w:t>Porção do Município grafada a partir da análise de sua situação ambiental e de seu potencial de transformação urbanística, tendo como base inicial as Macroáreas definidas no Plano Diretor (Lei nº 16.050/14), com o objetivo de definir parâmetros de aplicação da Quota Ambiental, conforme Mapa 2 e Quadro 3A;</w:t>
            </w:r>
          </w:p>
        </w:tc>
      </w:tr>
      <w:tr w:rsidR="0092709A" w:rsidRPr="006E636F" w:rsidTr="0092709A">
        <w:trPr>
          <w:trHeight w:val="81"/>
        </w:trPr>
        <w:tc>
          <w:tcPr>
            <w:tcW w:w="2575"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ED4694" w:rsidRDefault="0092709A" w:rsidP="00231F6C">
            <w:pPr>
              <w:jc w:val="left"/>
              <w:rPr>
                <w:rFonts w:cs="Calibri"/>
                <w:b/>
                <w:bCs/>
                <w:color w:val="000000"/>
                <w:sz w:val="20"/>
                <w:szCs w:val="20"/>
                <w:lang w:eastAsia="pt-BR"/>
              </w:rPr>
            </w:pPr>
            <w:r w:rsidRPr="00ED4694">
              <w:rPr>
                <w:rFonts w:cs="Calibri"/>
                <w:b/>
                <w:bCs/>
                <w:color w:val="000000"/>
                <w:sz w:val="20"/>
                <w:szCs w:val="20"/>
              </w:rPr>
              <w:t>Período de retorno</w:t>
            </w:r>
          </w:p>
        </w:tc>
        <w:tc>
          <w:tcPr>
            <w:tcW w:w="9200" w:type="dxa"/>
            <w:tcBorders>
              <w:top w:val="single" w:sz="4" w:space="0" w:color="auto"/>
              <w:left w:val="nil"/>
              <w:bottom w:val="single" w:sz="4" w:space="0" w:color="auto"/>
              <w:right w:val="single" w:sz="8" w:space="0" w:color="auto"/>
            </w:tcBorders>
            <w:shd w:val="clear" w:color="000000" w:fill="FFFFFF"/>
            <w:vAlign w:val="center"/>
          </w:tcPr>
          <w:p w:rsidR="0092709A" w:rsidRPr="00C408D4" w:rsidRDefault="0092709A" w:rsidP="00231F6C">
            <w:pPr>
              <w:jc w:val="left"/>
              <w:rPr>
                <w:rFonts w:cs="Calibri"/>
                <w:color w:val="000000"/>
                <w:sz w:val="20"/>
                <w:szCs w:val="20"/>
                <w:lang w:eastAsia="pt-BR"/>
              </w:rPr>
            </w:pPr>
            <w:r w:rsidRPr="00C408D4">
              <w:rPr>
                <w:rFonts w:cs="Calibri"/>
                <w:bCs/>
                <w:color w:val="000000"/>
                <w:sz w:val="20"/>
                <w:szCs w:val="20"/>
              </w:rPr>
              <w:t>Período de tempo médio que um determinado evento hidrológico é igualado ou superado pelo menos uma vez;</w:t>
            </w:r>
          </w:p>
        </w:tc>
      </w:tr>
    </w:tbl>
    <w:p w:rsidR="0086428B" w:rsidRDefault="0086428B" w:rsidP="0086428B"/>
    <w:p w:rsidR="0086428B" w:rsidRDefault="0086428B" w:rsidP="0086428B">
      <w:pPr>
        <w:rPr>
          <w:b/>
          <w:sz w:val="20"/>
          <w:szCs w:val="20"/>
        </w:rPr>
      </w:pPr>
      <w:r>
        <w:br w:type="page"/>
      </w:r>
      <w:r w:rsidRPr="006E636F">
        <w:rPr>
          <w:b/>
          <w:sz w:val="20"/>
          <w:szCs w:val="20"/>
          <w:lang w:eastAsia="pt-BR"/>
        </w:rPr>
        <w:t xml:space="preserve">Quadro 1 </w:t>
      </w:r>
      <w:r>
        <w:rPr>
          <w:b/>
          <w:sz w:val="20"/>
          <w:szCs w:val="20"/>
          <w:lang w:eastAsia="pt-BR"/>
        </w:rPr>
        <w:t>-</w:t>
      </w:r>
      <w:r w:rsidRPr="006E636F">
        <w:rPr>
          <w:b/>
          <w:sz w:val="20"/>
          <w:szCs w:val="20"/>
          <w:lang w:eastAsia="pt-BR"/>
        </w:rPr>
        <w:t xml:space="preserve"> Conceitos e definições | </w:t>
      </w:r>
      <w:r>
        <w:rPr>
          <w:b/>
          <w:sz w:val="20"/>
          <w:szCs w:val="20"/>
        </w:rPr>
        <w:t xml:space="preserve">Folha 6 de </w:t>
      </w:r>
      <w:r w:rsidR="00213DA7">
        <w:rPr>
          <w:b/>
          <w:sz w:val="20"/>
          <w:szCs w:val="20"/>
        </w:rPr>
        <w:t>6</w:t>
      </w:r>
    </w:p>
    <w:p w:rsidR="0086428B" w:rsidRDefault="0086428B"/>
    <w:tbl>
      <w:tblPr>
        <w:tblW w:w="13607" w:type="dxa"/>
        <w:tblInd w:w="55" w:type="dxa"/>
        <w:tblCellMar>
          <w:left w:w="70" w:type="dxa"/>
          <w:right w:w="70" w:type="dxa"/>
        </w:tblCellMar>
        <w:tblLook w:val="04A0" w:firstRow="1" w:lastRow="0" w:firstColumn="1" w:lastColumn="0" w:noHBand="0" w:noVBand="1"/>
      </w:tblPr>
      <w:tblGrid>
        <w:gridCol w:w="3402"/>
        <w:gridCol w:w="10205"/>
      </w:tblGrid>
      <w:tr w:rsidR="0086428B" w:rsidRPr="0054771D" w:rsidTr="00821F68">
        <w:trPr>
          <w:trHeight w:val="315"/>
        </w:trPr>
        <w:tc>
          <w:tcPr>
            <w:tcW w:w="3402"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86428B" w:rsidRPr="0054771D" w:rsidRDefault="0086428B" w:rsidP="0054771D">
            <w:pPr>
              <w:jc w:val="left"/>
              <w:rPr>
                <w:rFonts w:cs="Calibri"/>
                <w:b/>
                <w:bCs/>
                <w:color w:val="000000"/>
                <w:sz w:val="20"/>
                <w:szCs w:val="20"/>
                <w:lang w:eastAsia="pt-BR"/>
              </w:rPr>
            </w:pPr>
            <w:r w:rsidRPr="0054771D">
              <w:rPr>
                <w:rFonts w:cs="Calibri"/>
                <w:b/>
                <w:bCs/>
                <w:color w:val="000000"/>
                <w:sz w:val="20"/>
                <w:szCs w:val="20"/>
                <w:lang w:eastAsia="pt-BR"/>
              </w:rPr>
              <w:t>CONCEITO</w:t>
            </w:r>
          </w:p>
        </w:tc>
        <w:tc>
          <w:tcPr>
            <w:tcW w:w="10205" w:type="dxa"/>
            <w:tcBorders>
              <w:top w:val="single" w:sz="8" w:space="0" w:color="auto"/>
              <w:left w:val="nil"/>
              <w:bottom w:val="single" w:sz="8" w:space="0" w:color="auto"/>
              <w:right w:val="single" w:sz="8" w:space="0" w:color="auto"/>
            </w:tcBorders>
            <w:shd w:val="clear" w:color="000000" w:fill="C0C0C0"/>
            <w:noWrap/>
            <w:vAlign w:val="bottom"/>
          </w:tcPr>
          <w:p w:rsidR="0086428B" w:rsidRPr="0054771D" w:rsidRDefault="0086428B" w:rsidP="0054771D">
            <w:pPr>
              <w:jc w:val="left"/>
              <w:rPr>
                <w:rFonts w:cs="Calibri"/>
                <w:b/>
                <w:bCs/>
                <w:color w:val="000000"/>
                <w:sz w:val="20"/>
                <w:szCs w:val="20"/>
                <w:lang w:eastAsia="pt-BR"/>
              </w:rPr>
            </w:pPr>
            <w:r w:rsidRPr="0054771D">
              <w:rPr>
                <w:rFonts w:cs="Calibri"/>
                <w:b/>
                <w:bCs/>
                <w:color w:val="000000"/>
                <w:sz w:val="20"/>
                <w:szCs w:val="20"/>
                <w:lang w:eastAsia="pt-BR"/>
              </w:rPr>
              <w:t>DEFINIÇÃO</w:t>
            </w:r>
          </w:p>
        </w:tc>
      </w:tr>
      <w:tr w:rsidR="0092709A" w:rsidRPr="0054771D" w:rsidTr="00821F68">
        <w:trPr>
          <w:trHeight w:val="81"/>
        </w:trPr>
        <w:tc>
          <w:tcPr>
            <w:tcW w:w="3402"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rPr>
            </w:pPr>
            <w:r w:rsidRPr="0054771D">
              <w:rPr>
                <w:rFonts w:cs="Calibri"/>
                <w:b/>
                <w:bCs/>
                <w:color w:val="000000"/>
                <w:sz w:val="20"/>
                <w:szCs w:val="20"/>
              </w:rPr>
              <w:t>Potencial Construtivo Incentivado</w:t>
            </w:r>
          </w:p>
        </w:tc>
        <w:tc>
          <w:tcPr>
            <w:tcW w:w="10205" w:type="dxa"/>
            <w:tcBorders>
              <w:top w:val="single" w:sz="4" w:space="0" w:color="auto"/>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bCs/>
                <w:color w:val="000000"/>
                <w:sz w:val="20"/>
                <w:szCs w:val="20"/>
              </w:rPr>
            </w:pPr>
            <w:r w:rsidRPr="0054771D">
              <w:rPr>
                <w:rFonts w:cs="Calibri"/>
                <w:bCs/>
                <w:color w:val="000000"/>
                <w:sz w:val="20"/>
                <w:szCs w:val="20"/>
              </w:rPr>
              <w:t>É o produto resultante da multiplicação da área de terreno de um lote ou uma gleba pelo coeficiente de aproveitamento incentivado do terreno.</w:t>
            </w:r>
          </w:p>
        </w:tc>
      </w:tr>
      <w:tr w:rsidR="0092709A" w:rsidRPr="0054771D" w:rsidTr="00821F68">
        <w:trPr>
          <w:trHeight w:val="81"/>
        </w:trPr>
        <w:tc>
          <w:tcPr>
            <w:tcW w:w="3402"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54771D" w:rsidRDefault="0092709A" w:rsidP="00231F6C">
            <w:pPr>
              <w:jc w:val="left"/>
              <w:rPr>
                <w:rFonts w:cs="Calibri"/>
                <w:b/>
                <w:bCs/>
                <w:color w:val="000000"/>
                <w:sz w:val="20"/>
                <w:szCs w:val="20"/>
              </w:rPr>
            </w:pPr>
            <w:r w:rsidRPr="0054771D">
              <w:rPr>
                <w:rFonts w:cs="Calibri"/>
                <w:b/>
                <w:bCs/>
                <w:color w:val="000000"/>
                <w:sz w:val="20"/>
                <w:szCs w:val="20"/>
              </w:rPr>
              <w:t>Potencial Construtivo passível de transferência do terreno</w:t>
            </w:r>
          </w:p>
        </w:tc>
        <w:tc>
          <w:tcPr>
            <w:tcW w:w="10205" w:type="dxa"/>
            <w:tcBorders>
              <w:top w:val="single" w:sz="4" w:space="0" w:color="auto"/>
              <w:left w:val="nil"/>
              <w:bottom w:val="single" w:sz="4" w:space="0" w:color="auto"/>
              <w:right w:val="single" w:sz="8" w:space="0" w:color="auto"/>
            </w:tcBorders>
            <w:shd w:val="clear" w:color="000000" w:fill="FFFFFF"/>
            <w:vAlign w:val="center"/>
          </w:tcPr>
          <w:p w:rsidR="0092709A" w:rsidRPr="0054771D" w:rsidRDefault="0092709A" w:rsidP="00231F6C">
            <w:pPr>
              <w:jc w:val="left"/>
              <w:rPr>
                <w:rFonts w:cs="Calibri"/>
                <w:bCs/>
                <w:color w:val="000000"/>
                <w:sz w:val="20"/>
                <w:szCs w:val="20"/>
              </w:rPr>
            </w:pPr>
            <w:r w:rsidRPr="0054771D">
              <w:rPr>
                <w:rFonts w:cs="Calibri"/>
                <w:bCs/>
                <w:color w:val="000000"/>
                <w:sz w:val="20"/>
                <w:szCs w:val="20"/>
              </w:rPr>
              <w:t>Parcela de potencial construtivo de um lote ou gleba que pode ser transferido para outros lotes.</w:t>
            </w:r>
          </w:p>
        </w:tc>
      </w:tr>
      <w:tr w:rsidR="0092709A" w:rsidRPr="0054771D" w:rsidTr="00821F68">
        <w:trPr>
          <w:trHeight w:val="300"/>
        </w:trPr>
        <w:tc>
          <w:tcPr>
            <w:tcW w:w="3402"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54771D" w:rsidRDefault="0092709A" w:rsidP="00BE20D9">
            <w:pPr>
              <w:jc w:val="left"/>
              <w:rPr>
                <w:rFonts w:cs="Calibri"/>
                <w:b/>
                <w:bCs/>
                <w:color w:val="000000"/>
                <w:sz w:val="20"/>
                <w:szCs w:val="20"/>
                <w:lang w:eastAsia="pt-BR"/>
              </w:rPr>
            </w:pPr>
            <w:r w:rsidRPr="0054771D">
              <w:rPr>
                <w:rFonts w:cs="Calibri"/>
                <w:sz w:val="20"/>
                <w:szCs w:val="20"/>
              </w:rPr>
              <w:t xml:space="preserve">Processos </w:t>
            </w:r>
            <w:proofErr w:type="gramStart"/>
            <w:r w:rsidRPr="0054771D">
              <w:rPr>
                <w:rFonts w:cs="Calibri"/>
                <w:sz w:val="20"/>
                <w:szCs w:val="20"/>
              </w:rPr>
              <w:t>geológicos-geotécnicos</w:t>
            </w:r>
            <w:proofErr w:type="gramEnd"/>
          </w:p>
        </w:tc>
        <w:tc>
          <w:tcPr>
            <w:tcW w:w="10205" w:type="dxa"/>
            <w:tcBorders>
              <w:top w:val="single" w:sz="4" w:space="0" w:color="auto"/>
              <w:left w:val="nil"/>
              <w:bottom w:val="single" w:sz="4" w:space="0" w:color="auto"/>
              <w:right w:val="single" w:sz="8" w:space="0" w:color="auto"/>
            </w:tcBorders>
            <w:shd w:val="clear" w:color="000000" w:fill="FFFFFF"/>
            <w:vAlign w:val="center"/>
          </w:tcPr>
          <w:p w:rsidR="0092709A" w:rsidRPr="0054771D" w:rsidRDefault="0092709A" w:rsidP="000623F3">
            <w:pPr>
              <w:pStyle w:val="Textodecomentrio"/>
              <w:rPr>
                <w:rFonts w:ascii="Calibri" w:hAnsi="Calibri" w:cs="Calibri"/>
              </w:rPr>
            </w:pPr>
            <w:r w:rsidRPr="0054771D">
              <w:rPr>
                <w:rFonts w:ascii="Calibri" w:hAnsi="Calibri" w:cs="Calibri"/>
                <w:lang w:val="pt-BR"/>
              </w:rPr>
              <w:t>Consistem em</w:t>
            </w:r>
            <w:r w:rsidRPr="0054771D">
              <w:rPr>
                <w:rFonts w:ascii="Calibri" w:hAnsi="Calibri" w:cs="Calibri"/>
              </w:rPr>
              <w:t xml:space="preserve"> enchentes, escorregamentos, erosão, colapsos e subsidência de solos</w:t>
            </w:r>
            <w:r w:rsidRPr="0054771D">
              <w:rPr>
                <w:rFonts w:ascii="Calibri" w:hAnsi="Calibri" w:cs="Calibri"/>
                <w:lang w:val="pt-BR"/>
              </w:rPr>
              <w:t>.</w:t>
            </w:r>
            <w:r w:rsidRPr="0054771D">
              <w:rPr>
                <w:rFonts w:ascii="Calibri" w:hAnsi="Calibri" w:cs="Calibri"/>
              </w:rPr>
              <w:t xml:space="preserve">   </w:t>
            </w:r>
          </w:p>
        </w:tc>
      </w:tr>
      <w:tr w:rsidR="0092709A" w:rsidRPr="0054771D" w:rsidTr="00821F68">
        <w:trPr>
          <w:trHeight w:val="300"/>
        </w:trPr>
        <w:tc>
          <w:tcPr>
            <w:tcW w:w="3402" w:type="dxa"/>
            <w:tcBorders>
              <w:top w:val="single" w:sz="4" w:space="0" w:color="auto"/>
              <w:left w:val="single" w:sz="8" w:space="0" w:color="auto"/>
              <w:bottom w:val="single" w:sz="4" w:space="0" w:color="auto"/>
              <w:right w:val="single" w:sz="4" w:space="0" w:color="auto"/>
            </w:tcBorders>
            <w:shd w:val="clear" w:color="000000" w:fill="FFFFFF"/>
            <w:vAlign w:val="center"/>
          </w:tcPr>
          <w:p w:rsidR="0092709A" w:rsidRPr="0054771D" w:rsidRDefault="0092709A" w:rsidP="00BE20D9">
            <w:pPr>
              <w:jc w:val="left"/>
              <w:rPr>
                <w:rFonts w:cs="Calibri"/>
                <w:b/>
                <w:bCs/>
                <w:color w:val="000000"/>
                <w:sz w:val="20"/>
                <w:szCs w:val="20"/>
                <w:lang w:eastAsia="pt-BR"/>
              </w:rPr>
            </w:pPr>
            <w:r w:rsidRPr="0054771D">
              <w:rPr>
                <w:rFonts w:cs="Calibri"/>
                <w:b/>
                <w:bCs/>
                <w:color w:val="000000"/>
                <w:sz w:val="20"/>
                <w:szCs w:val="20"/>
                <w:lang w:eastAsia="pt-BR"/>
              </w:rPr>
              <w:t>Quadra</w:t>
            </w:r>
          </w:p>
        </w:tc>
        <w:tc>
          <w:tcPr>
            <w:tcW w:w="10205" w:type="dxa"/>
            <w:tcBorders>
              <w:top w:val="single" w:sz="4" w:space="0" w:color="auto"/>
              <w:left w:val="nil"/>
              <w:bottom w:val="single" w:sz="4" w:space="0" w:color="auto"/>
              <w:right w:val="single" w:sz="8" w:space="0" w:color="auto"/>
            </w:tcBorders>
            <w:shd w:val="clear" w:color="000000" w:fill="FFFFFF"/>
            <w:vAlign w:val="center"/>
          </w:tcPr>
          <w:p w:rsidR="0092709A" w:rsidRPr="0054771D" w:rsidRDefault="0092709A" w:rsidP="00BE20D9">
            <w:pPr>
              <w:jc w:val="left"/>
              <w:rPr>
                <w:rFonts w:cs="Calibri"/>
                <w:color w:val="000000"/>
                <w:sz w:val="20"/>
                <w:szCs w:val="20"/>
                <w:lang w:eastAsia="pt-BR"/>
              </w:rPr>
            </w:pPr>
            <w:r w:rsidRPr="0054771D">
              <w:rPr>
                <w:rFonts w:cs="Calibri"/>
                <w:color w:val="000000"/>
                <w:sz w:val="20"/>
                <w:szCs w:val="20"/>
                <w:lang w:eastAsia="pt-BR"/>
              </w:rPr>
              <w:t>Área resultante de loteamento, delimitada por vias oficiais de circulação ou demais logradouros públicos.</w:t>
            </w:r>
          </w:p>
        </w:tc>
      </w:tr>
      <w:tr w:rsidR="0092709A" w:rsidRPr="0054771D" w:rsidTr="00821F68">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2709A" w:rsidRPr="0054771D" w:rsidRDefault="0092709A" w:rsidP="00BE20D9">
            <w:pPr>
              <w:jc w:val="left"/>
              <w:rPr>
                <w:rFonts w:cs="Calibri"/>
                <w:b/>
                <w:bCs/>
                <w:color w:val="000000"/>
                <w:sz w:val="20"/>
                <w:szCs w:val="20"/>
                <w:lang w:eastAsia="pt-BR"/>
              </w:rPr>
            </w:pPr>
            <w:r w:rsidRPr="0054771D">
              <w:rPr>
                <w:rFonts w:cs="Calibri"/>
                <w:b/>
                <w:bCs/>
                <w:color w:val="000000"/>
                <w:sz w:val="20"/>
                <w:szCs w:val="20"/>
                <w:lang w:eastAsia="pt-BR"/>
              </w:rPr>
              <w:t>Recuo</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92709A" w:rsidRPr="0054771D" w:rsidRDefault="0092709A" w:rsidP="0086428B">
            <w:pPr>
              <w:jc w:val="left"/>
              <w:rPr>
                <w:rFonts w:cs="Calibri"/>
                <w:color w:val="000000"/>
                <w:sz w:val="20"/>
                <w:szCs w:val="20"/>
                <w:lang w:eastAsia="pt-BR"/>
              </w:rPr>
            </w:pPr>
            <w:r w:rsidRPr="0054771D">
              <w:rPr>
                <w:rFonts w:cs="Calibri"/>
                <w:color w:val="000000"/>
                <w:sz w:val="20"/>
                <w:szCs w:val="20"/>
                <w:lang w:eastAsia="pt-BR"/>
              </w:rPr>
              <w:t>Distância medida em projeção horizontal entre o limite externo da edificação e a divisa do lote</w:t>
            </w:r>
            <w:r w:rsidR="0086428B" w:rsidRPr="0054771D">
              <w:rPr>
                <w:rFonts w:cs="Calibri"/>
                <w:color w:val="000000"/>
                <w:sz w:val="20"/>
                <w:szCs w:val="20"/>
                <w:lang w:eastAsia="pt-BR"/>
              </w:rPr>
              <w:t xml:space="preserve"> e são definidos por linhas paralelas às divisas do lote, ressalvados o aproveitamento do subsolo e a execução de saliências em edificações, nos casos previstos em lei;</w:t>
            </w:r>
          </w:p>
        </w:tc>
      </w:tr>
      <w:tr w:rsidR="0092709A" w:rsidRPr="0054771D" w:rsidTr="00821F68">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2709A" w:rsidRPr="0054771D" w:rsidRDefault="0092709A" w:rsidP="00BE20D9">
            <w:pPr>
              <w:jc w:val="left"/>
              <w:rPr>
                <w:rFonts w:cs="Calibri"/>
                <w:b/>
                <w:bCs/>
                <w:color w:val="000000"/>
                <w:sz w:val="20"/>
                <w:szCs w:val="20"/>
                <w:lang w:eastAsia="pt-BR"/>
              </w:rPr>
            </w:pPr>
            <w:proofErr w:type="gramStart"/>
            <w:r w:rsidRPr="0054771D">
              <w:rPr>
                <w:rFonts w:cs="Calibri"/>
                <w:b/>
                <w:bCs/>
                <w:color w:val="000000"/>
                <w:sz w:val="20"/>
                <w:szCs w:val="20"/>
                <w:lang w:eastAsia="pt-BR"/>
              </w:rPr>
              <w:t>os</w:t>
            </w:r>
            <w:proofErr w:type="gramEnd"/>
            <w:r w:rsidRPr="0054771D">
              <w:rPr>
                <w:rFonts w:cs="Calibri"/>
                <w:b/>
                <w:bCs/>
                <w:color w:val="000000"/>
                <w:sz w:val="20"/>
                <w:szCs w:val="20"/>
                <w:lang w:eastAsia="pt-BR"/>
              </w:rPr>
              <w:t xml:space="preserve"> recuos de frente</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92709A" w:rsidRPr="0054771D" w:rsidRDefault="0092709A" w:rsidP="00BE20D9">
            <w:pPr>
              <w:jc w:val="left"/>
              <w:rPr>
                <w:rFonts w:cs="Calibri"/>
                <w:color w:val="000000"/>
                <w:sz w:val="20"/>
                <w:szCs w:val="20"/>
                <w:lang w:eastAsia="pt-BR"/>
              </w:rPr>
            </w:pPr>
            <w:proofErr w:type="gramStart"/>
            <w:r w:rsidRPr="0054771D">
              <w:rPr>
                <w:rFonts w:cs="Calibri"/>
                <w:color w:val="000000"/>
                <w:sz w:val="20"/>
                <w:szCs w:val="20"/>
                <w:lang w:eastAsia="pt-BR"/>
              </w:rPr>
              <w:t>são</w:t>
            </w:r>
            <w:proofErr w:type="gramEnd"/>
            <w:r w:rsidRPr="0054771D">
              <w:rPr>
                <w:rFonts w:cs="Calibri"/>
                <w:color w:val="000000"/>
                <w:sz w:val="20"/>
                <w:szCs w:val="20"/>
                <w:lang w:eastAsia="pt-BR"/>
              </w:rPr>
              <w:t xml:space="preserve"> medidos em relação aos alinhamentos;</w:t>
            </w:r>
          </w:p>
        </w:tc>
      </w:tr>
      <w:tr w:rsidR="00821F68" w:rsidRPr="0054771D" w:rsidTr="00821F68">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54771D" w:rsidRDefault="00821F68" w:rsidP="00821F68">
            <w:pPr>
              <w:jc w:val="left"/>
              <w:rPr>
                <w:rFonts w:cs="Calibri"/>
                <w:b/>
                <w:bCs/>
                <w:color w:val="000000"/>
                <w:sz w:val="20"/>
                <w:szCs w:val="20"/>
                <w:lang w:eastAsia="pt-BR"/>
              </w:rPr>
            </w:pPr>
            <w:proofErr w:type="gramStart"/>
            <w:r w:rsidRPr="0054771D">
              <w:rPr>
                <w:rFonts w:cs="Calibri"/>
                <w:b/>
                <w:bCs/>
                <w:color w:val="000000"/>
                <w:sz w:val="20"/>
                <w:szCs w:val="20"/>
                <w:lang w:eastAsia="pt-BR"/>
              </w:rPr>
              <w:t>recuos</w:t>
            </w:r>
            <w:proofErr w:type="gramEnd"/>
            <w:r w:rsidRPr="0054771D">
              <w:rPr>
                <w:rFonts w:cs="Calibri"/>
                <w:b/>
                <w:bCs/>
                <w:color w:val="000000"/>
                <w:sz w:val="20"/>
                <w:szCs w:val="20"/>
                <w:lang w:eastAsia="pt-BR"/>
              </w:rPr>
              <w:t xml:space="preserve"> no caso de lotes irregulares</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54771D" w:rsidRDefault="00821F68" w:rsidP="0054771D">
            <w:pPr>
              <w:jc w:val="left"/>
              <w:rPr>
                <w:rFonts w:cs="Calibri"/>
                <w:color w:val="000000"/>
                <w:sz w:val="20"/>
                <w:szCs w:val="20"/>
                <w:lang w:eastAsia="pt-BR"/>
              </w:rPr>
            </w:pPr>
            <w:proofErr w:type="gramStart"/>
            <w:r w:rsidRPr="0054771D">
              <w:rPr>
                <w:rFonts w:cs="Calibri"/>
                <w:color w:val="000000"/>
                <w:sz w:val="20"/>
                <w:szCs w:val="20"/>
                <w:lang w:eastAsia="pt-BR"/>
              </w:rPr>
              <w:t>são</w:t>
            </w:r>
            <w:proofErr w:type="gramEnd"/>
            <w:r w:rsidRPr="0054771D">
              <w:rPr>
                <w:rFonts w:cs="Calibri"/>
                <w:color w:val="000000"/>
                <w:sz w:val="20"/>
                <w:szCs w:val="20"/>
                <w:lang w:eastAsia="pt-BR"/>
              </w:rPr>
              <w:t xml:space="preserve"> definidos em normas expedidas pelo Executivo.</w:t>
            </w:r>
          </w:p>
        </w:tc>
      </w:tr>
      <w:tr w:rsidR="00821F68" w:rsidRPr="0054771D" w:rsidTr="00821F68">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54771D" w:rsidRDefault="00821F68" w:rsidP="0054771D">
            <w:pPr>
              <w:jc w:val="left"/>
              <w:rPr>
                <w:rFonts w:cs="Calibri"/>
                <w:b/>
                <w:bCs/>
                <w:color w:val="000000"/>
                <w:sz w:val="20"/>
                <w:szCs w:val="20"/>
                <w:lang w:eastAsia="pt-BR"/>
              </w:rPr>
            </w:pPr>
            <w:proofErr w:type="spellStart"/>
            <w:r w:rsidRPr="0054771D">
              <w:rPr>
                <w:rFonts w:cs="Calibri"/>
                <w:b/>
                <w:bCs/>
                <w:color w:val="000000"/>
                <w:sz w:val="20"/>
                <w:szCs w:val="20"/>
                <w:lang w:eastAsia="pt-BR"/>
              </w:rPr>
              <w:t>Remembramento</w:t>
            </w:r>
            <w:proofErr w:type="spellEnd"/>
            <w:r w:rsidRPr="0054771D">
              <w:rPr>
                <w:rFonts w:cs="Calibri"/>
                <w:b/>
                <w:bCs/>
                <w:color w:val="000000"/>
                <w:sz w:val="20"/>
                <w:szCs w:val="20"/>
                <w:lang w:eastAsia="pt-BR"/>
              </w:rPr>
              <w:t xml:space="preserve"> de glebas ou lotes</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54771D" w:rsidRDefault="00821F68" w:rsidP="0054771D">
            <w:pPr>
              <w:jc w:val="left"/>
              <w:rPr>
                <w:rFonts w:cs="Calibri"/>
                <w:color w:val="000000"/>
                <w:sz w:val="20"/>
                <w:szCs w:val="20"/>
                <w:lang w:eastAsia="pt-BR"/>
              </w:rPr>
            </w:pPr>
            <w:r w:rsidRPr="0054771D">
              <w:rPr>
                <w:rFonts w:cs="Calibri"/>
                <w:color w:val="000000"/>
                <w:sz w:val="20"/>
                <w:szCs w:val="20"/>
                <w:lang w:eastAsia="pt-BR"/>
              </w:rPr>
              <w:t>Soma das áreas de duas ou mais glebas ou lotes, para a formação de novas glebas ou lotes.</w:t>
            </w:r>
          </w:p>
        </w:tc>
      </w:tr>
      <w:tr w:rsidR="00821F68" w:rsidRPr="0054771D" w:rsidTr="00821F68">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54771D" w:rsidRDefault="00821F68" w:rsidP="0054771D">
            <w:pPr>
              <w:jc w:val="left"/>
              <w:rPr>
                <w:rFonts w:cs="Calibri"/>
                <w:b/>
                <w:bCs/>
                <w:color w:val="000000"/>
                <w:sz w:val="20"/>
                <w:szCs w:val="20"/>
                <w:lang w:eastAsia="pt-BR"/>
              </w:rPr>
            </w:pPr>
            <w:proofErr w:type="spellStart"/>
            <w:r w:rsidRPr="0054771D">
              <w:rPr>
                <w:rFonts w:cs="Calibri"/>
                <w:b/>
                <w:bCs/>
                <w:color w:val="000000"/>
                <w:sz w:val="20"/>
                <w:szCs w:val="20"/>
              </w:rPr>
              <w:t>Reservação</w:t>
            </w:r>
            <w:proofErr w:type="spellEnd"/>
            <w:r w:rsidRPr="0054771D">
              <w:rPr>
                <w:rFonts w:cs="Calibri"/>
                <w:b/>
                <w:bCs/>
                <w:color w:val="000000"/>
                <w:sz w:val="20"/>
                <w:szCs w:val="20"/>
              </w:rPr>
              <w:t xml:space="preserve"> de controle de escoamento superficial</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54771D" w:rsidRDefault="00821F68" w:rsidP="0054771D">
            <w:pPr>
              <w:jc w:val="left"/>
              <w:rPr>
                <w:rFonts w:cs="Calibri"/>
                <w:color w:val="000000"/>
                <w:sz w:val="20"/>
                <w:szCs w:val="20"/>
                <w:lang w:eastAsia="pt-BR"/>
              </w:rPr>
            </w:pPr>
            <w:r w:rsidRPr="0054771D">
              <w:rPr>
                <w:rFonts w:cs="Calibri"/>
                <w:bCs/>
                <w:color w:val="000000"/>
                <w:sz w:val="20"/>
                <w:szCs w:val="20"/>
              </w:rPr>
              <w:t xml:space="preserve">Sistema de reservatórios não </w:t>
            </w:r>
            <w:proofErr w:type="spellStart"/>
            <w:r w:rsidRPr="0054771D">
              <w:rPr>
                <w:rFonts w:cs="Calibri"/>
                <w:bCs/>
                <w:color w:val="000000"/>
                <w:sz w:val="20"/>
                <w:szCs w:val="20"/>
              </w:rPr>
              <w:t>infiltrantes</w:t>
            </w:r>
            <w:proofErr w:type="spellEnd"/>
            <w:r w:rsidRPr="0054771D">
              <w:rPr>
                <w:rFonts w:cs="Calibri"/>
                <w:bCs/>
                <w:color w:val="000000"/>
                <w:sz w:val="20"/>
                <w:szCs w:val="20"/>
              </w:rPr>
              <w:t xml:space="preserve"> e estruturas implantadas no lote com o objetivo abater e retardar o pico da vazão de saída.</w:t>
            </w:r>
          </w:p>
        </w:tc>
      </w:tr>
      <w:tr w:rsidR="00821F68" w:rsidRPr="0054771D" w:rsidTr="00821F68">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54771D" w:rsidRDefault="00821F68" w:rsidP="0054771D">
            <w:pPr>
              <w:jc w:val="left"/>
              <w:rPr>
                <w:rFonts w:cs="Calibri"/>
                <w:b/>
                <w:bCs/>
                <w:color w:val="000000"/>
                <w:sz w:val="20"/>
                <w:szCs w:val="20"/>
                <w:lang w:eastAsia="pt-BR"/>
              </w:rPr>
            </w:pPr>
            <w:proofErr w:type="spellStart"/>
            <w:r w:rsidRPr="0054771D">
              <w:rPr>
                <w:rFonts w:cs="Calibri"/>
                <w:b/>
                <w:bCs/>
                <w:color w:val="000000"/>
                <w:sz w:val="20"/>
                <w:szCs w:val="20"/>
              </w:rPr>
              <w:t>Reservação</w:t>
            </w:r>
            <w:proofErr w:type="spellEnd"/>
            <w:r w:rsidRPr="0054771D">
              <w:rPr>
                <w:rFonts w:cs="Calibri"/>
                <w:b/>
                <w:bCs/>
                <w:color w:val="000000"/>
                <w:sz w:val="20"/>
                <w:szCs w:val="20"/>
              </w:rPr>
              <w:t xml:space="preserve"> para aproveitamento de águas pluviais provenientes de coberturas das edificações para fins não potáveis</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54771D" w:rsidRDefault="00821F68" w:rsidP="0054771D">
            <w:pPr>
              <w:jc w:val="left"/>
              <w:rPr>
                <w:rFonts w:cs="Calibri"/>
                <w:color w:val="000000"/>
                <w:sz w:val="20"/>
                <w:szCs w:val="20"/>
                <w:lang w:eastAsia="pt-BR"/>
              </w:rPr>
            </w:pPr>
            <w:r w:rsidRPr="0054771D">
              <w:rPr>
                <w:rFonts w:cs="Calibri"/>
                <w:bCs/>
                <w:color w:val="000000"/>
                <w:sz w:val="20"/>
                <w:szCs w:val="20"/>
              </w:rPr>
              <w:t xml:space="preserve">Sistema de reservatórios e estruturas auxiliares de capitação e </w:t>
            </w:r>
            <w:proofErr w:type="spellStart"/>
            <w:r w:rsidRPr="0054771D">
              <w:rPr>
                <w:rFonts w:cs="Calibri"/>
                <w:bCs/>
                <w:color w:val="000000"/>
                <w:sz w:val="20"/>
                <w:szCs w:val="20"/>
              </w:rPr>
              <w:t>reservação</w:t>
            </w:r>
            <w:proofErr w:type="spellEnd"/>
            <w:r w:rsidRPr="0054771D">
              <w:rPr>
                <w:rFonts w:cs="Calibri"/>
                <w:bCs/>
                <w:color w:val="000000"/>
                <w:sz w:val="20"/>
                <w:szCs w:val="20"/>
              </w:rPr>
              <w:t xml:space="preserve"> de águas pluviais provenientes da cobertura destinada ao uso não potável, como rega de jardins e lavagem de superfícies impermeáveis e de automóveis.</w:t>
            </w:r>
          </w:p>
        </w:tc>
      </w:tr>
      <w:tr w:rsidR="00821F68" w:rsidRPr="0054771D" w:rsidTr="00821F68">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380118" w:rsidRDefault="00821F68" w:rsidP="0054771D">
            <w:pPr>
              <w:jc w:val="left"/>
              <w:rPr>
                <w:rFonts w:cs="Calibri"/>
                <w:b/>
                <w:bCs/>
                <w:color w:val="000000"/>
                <w:sz w:val="20"/>
                <w:szCs w:val="20"/>
              </w:rPr>
            </w:pPr>
            <w:r w:rsidRPr="00380118">
              <w:rPr>
                <w:rFonts w:cs="Calibri"/>
                <w:b/>
                <w:bCs/>
                <w:color w:val="000000"/>
                <w:sz w:val="20"/>
                <w:szCs w:val="20"/>
              </w:rPr>
              <w:t>Taxa de Ocupação do Embasamento da Edificação</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821F68" w:rsidRPr="00380118" w:rsidRDefault="00821F68" w:rsidP="0054771D">
            <w:pPr>
              <w:jc w:val="left"/>
              <w:rPr>
                <w:rFonts w:cs="Calibri"/>
                <w:bCs/>
                <w:color w:val="000000"/>
                <w:sz w:val="20"/>
                <w:szCs w:val="20"/>
              </w:rPr>
            </w:pPr>
            <w:r w:rsidRPr="00380118">
              <w:rPr>
                <w:rFonts w:cs="Calibri"/>
                <w:bCs/>
                <w:color w:val="000000"/>
                <w:sz w:val="20"/>
                <w:szCs w:val="20"/>
              </w:rPr>
              <w:t xml:space="preserve">Projeção das áreas cobertas de uma edificação sobre o </w:t>
            </w:r>
            <w:proofErr w:type="spellStart"/>
            <w:r w:rsidRPr="00380118">
              <w:rPr>
                <w:rFonts w:cs="Calibri"/>
                <w:bCs/>
                <w:color w:val="000000"/>
                <w:sz w:val="20"/>
                <w:szCs w:val="20"/>
              </w:rPr>
              <w:t>nivel</w:t>
            </w:r>
            <w:proofErr w:type="spellEnd"/>
            <w:r w:rsidRPr="00380118">
              <w:rPr>
                <w:rFonts w:cs="Calibri"/>
                <w:bCs/>
                <w:color w:val="000000"/>
                <w:sz w:val="20"/>
                <w:szCs w:val="20"/>
              </w:rPr>
              <w:t xml:space="preserve"> do terreno. Medida como a razão da projeção do </w:t>
            </w:r>
            <w:proofErr w:type="spellStart"/>
            <w:r w:rsidRPr="00380118">
              <w:rPr>
                <w:rFonts w:cs="Calibri"/>
                <w:bCs/>
                <w:color w:val="000000"/>
                <w:sz w:val="20"/>
                <w:szCs w:val="20"/>
              </w:rPr>
              <w:t>emabasamento</w:t>
            </w:r>
            <w:proofErr w:type="spellEnd"/>
            <w:r w:rsidRPr="00380118">
              <w:rPr>
                <w:rFonts w:cs="Calibri"/>
                <w:bCs/>
                <w:color w:val="000000"/>
                <w:sz w:val="20"/>
                <w:szCs w:val="20"/>
              </w:rPr>
              <w:t xml:space="preserve"> da(s) </w:t>
            </w:r>
            <w:proofErr w:type="gramStart"/>
            <w:r w:rsidRPr="00380118">
              <w:rPr>
                <w:rFonts w:cs="Calibri"/>
                <w:bCs/>
                <w:color w:val="000000"/>
                <w:sz w:val="20"/>
                <w:szCs w:val="20"/>
              </w:rPr>
              <w:t>edificação(</w:t>
            </w:r>
            <w:proofErr w:type="spellStart"/>
            <w:proofErr w:type="gramEnd"/>
            <w:r w:rsidRPr="00380118">
              <w:rPr>
                <w:rFonts w:cs="Calibri"/>
                <w:bCs/>
                <w:color w:val="000000"/>
                <w:sz w:val="20"/>
                <w:szCs w:val="20"/>
              </w:rPr>
              <w:t>ões</w:t>
            </w:r>
            <w:proofErr w:type="spellEnd"/>
            <w:r w:rsidRPr="00380118">
              <w:rPr>
                <w:rFonts w:cs="Calibri"/>
                <w:bCs/>
                <w:color w:val="000000"/>
                <w:sz w:val="20"/>
                <w:szCs w:val="20"/>
              </w:rPr>
              <w:t>) sobre a área de terreno do lote.</w:t>
            </w:r>
          </w:p>
        </w:tc>
      </w:tr>
      <w:tr w:rsidR="00821F68" w:rsidRPr="0054771D" w:rsidTr="00821F68">
        <w:trPr>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821F68" w:rsidRPr="00380118" w:rsidRDefault="00821F68" w:rsidP="0054771D">
            <w:pPr>
              <w:jc w:val="left"/>
              <w:rPr>
                <w:rFonts w:cs="Calibri"/>
                <w:b/>
                <w:bCs/>
                <w:color w:val="000000"/>
                <w:sz w:val="20"/>
                <w:szCs w:val="20"/>
              </w:rPr>
            </w:pPr>
            <w:r w:rsidRPr="00380118">
              <w:rPr>
                <w:rFonts w:cs="Calibri"/>
                <w:b/>
                <w:bCs/>
                <w:color w:val="000000"/>
                <w:sz w:val="20"/>
                <w:szCs w:val="20"/>
              </w:rPr>
              <w:t>Taxa de Ocupação da Torre da Edificação</w:t>
            </w:r>
          </w:p>
        </w:tc>
        <w:tc>
          <w:tcPr>
            <w:tcW w:w="10205" w:type="dxa"/>
            <w:tcBorders>
              <w:top w:val="nil"/>
              <w:left w:val="nil"/>
              <w:bottom w:val="single" w:sz="4" w:space="0" w:color="auto"/>
              <w:right w:val="single" w:sz="8" w:space="0" w:color="auto"/>
            </w:tcBorders>
            <w:shd w:val="clear" w:color="000000" w:fill="FFFFFF"/>
            <w:vAlign w:val="center"/>
          </w:tcPr>
          <w:p w:rsidR="00821F68" w:rsidRPr="00380118" w:rsidRDefault="00821F68" w:rsidP="0054771D">
            <w:pPr>
              <w:jc w:val="left"/>
              <w:rPr>
                <w:rFonts w:cs="Calibri"/>
                <w:bCs/>
                <w:color w:val="000000"/>
                <w:sz w:val="20"/>
                <w:szCs w:val="20"/>
              </w:rPr>
            </w:pPr>
            <w:r w:rsidRPr="00380118">
              <w:rPr>
                <w:rFonts w:cs="Calibri"/>
                <w:bCs/>
                <w:color w:val="000000"/>
                <w:sz w:val="20"/>
                <w:szCs w:val="20"/>
              </w:rPr>
              <w:t xml:space="preserve">Projeção das áreas cobertas de uma ou mais torres de uma edificação sobre o </w:t>
            </w:r>
            <w:proofErr w:type="spellStart"/>
            <w:r w:rsidRPr="00380118">
              <w:rPr>
                <w:rFonts w:cs="Calibri"/>
                <w:bCs/>
                <w:color w:val="000000"/>
                <w:sz w:val="20"/>
                <w:szCs w:val="20"/>
              </w:rPr>
              <w:t>nivel</w:t>
            </w:r>
            <w:proofErr w:type="spellEnd"/>
            <w:r w:rsidRPr="00380118">
              <w:rPr>
                <w:rFonts w:cs="Calibri"/>
                <w:bCs/>
                <w:color w:val="000000"/>
                <w:sz w:val="20"/>
                <w:szCs w:val="20"/>
              </w:rPr>
              <w:t xml:space="preserve"> do terreno. Medida como a razão da projeção da(s) torre(s) da(s) </w:t>
            </w:r>
            <w:proofErr w:type="gramStart"/>
            <w:r w:rsidRPr="00380118">
              <w:rPr>
                <w:rFonts w:cs="Calibri"/>
                <w:bCs/>
                <w:color w:val="000000"/>
                <w:sz w:val="20"/>
                <w:szCs w:val="20"/>
              </w:rPr>
              <w:t>edificação(</w:t>
            </w:r>
            <w:proofErr w:type="spellStart"/>
            <w:proofErr w:type="gramEnd"/>
            <w:r w:rsidRPr="00380118">
              <w:rPr>
                <w:rFonts w:cs="Calibri"/>
                <w:bCs/>
                <w:color w:val="000000"/>
                <w:sz w:val="20"/>
                <w:szCs w:val="20"/>
              </w:rPr>
              <w:t>ões</w:t>
            </w:r>
            <w:proofErr w:type="spellEnd"/>
            <w:r w:rsidRPr="00380118">
              <w:rPr>
                <w:rFonts w:cs="Calibri"/>
                <w:bCs/>
                <w:color w:val="000000"/>
                <w:sz w:val="20"/>
                <w:szCs w:val="20"/>
              </w:rPr>
              <w:t>) sobre a área de terreno do lote.</w:t>
            </w:r>
          </w:p>
        </w:tc>
      </w:tr>
      <w:tr w:rsidR="00821F68" w:rsidRPr="0054771D" w:rsidTr="00821F68">
        <w:trPr>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821F68" w:rsidRPr="006E636F" w:rsidRDefault="00821F68" w:rsidP="0054771D">
            <w:pPr>
              <w:jc w:val="left"/>
              <w:rPr>
                <w:rFonts w:cs="Calibri"/>
                <w:b/>
                <w:bCs/>
                <w:color w:val="000000"/>
                <w:sz w:val="20"/>
                <w:szCs w:val="20"/>
                <w:lang w:eastAsia="pt-BR"/>
              </w:rPr>
            </w:pPr>
            <w:r w:rsidRPr="006E636F">
              <w:rPr>
                <w:rFonts w:cs="Calibri"/>
                <w:b/>
                <w:bCs/>
                <w:color w:val="000000"/>
                <w:sz w:val="20"/>
                <w:szCs w:val="20"/>
                <w:lang w:eastAsia="pt-BR"/>
              </w:rPr>
              <w:t>Via de circulação</w:t>
            </w:r>
          </w:p>
        </w:tc>
        <w:tc>
          <w:tcPr>
            <w:tcW w:w="10205" w:type="dxa"/>
            <w:tcBorders>
              <w:top w:val="nil"/>
              <w:left w:val="nil"/>
              <w:bottom w:val="single" w:sz="4" w:space="0" w:color="auto"/>
              <w:right w:val="single" w:sz="8" w:space="0" w:color="auto"/>
            </w:tcBorders>
            <w:shd w:val="clear" w:color="000000" w:fill="FFFFFF"/>
            <w:vAlign w:val="center"/>
          </w:tcPr>
          <w:p w:rsidR="00821F68" w:rsidRPr="006E636F" w:rsidRDefault="00821F68" w:rsidP="0054771D">
            <w:pPr>
              <w:jc w:val="left"/>
              <w:rPr>
                <w:rFonts w:cs="Calibri"/>
                <w:color w:val="000000"/>
                <w:sz w:val="20"/>
                <w:szCs w:val="20"/>
                <w:lang w:eastAsia="pt-BR"/>
              </w:rPr>
            </w:pPr>
            <w:r w:rsidRPr="006E636F">
              <w:rPr>
                <w:rFonts w:cs="Calibri"/>
                <w:color w:val="000000"/>
                <w:sz w:val="20"/>
                <w:szCs w:val="20"/>
                <w:lang w:eastAsia="pt-BR"/>
              </w:rPr>
              <w:t>Espaço destinado à circulação de veículos ou pedestres, sendo que:</w:t>
            </w:r>
          </w:p>
        </w:tc>
      </w:tr>
      <w:tr w:rsidR="00821F68" w:rsidRPr="0054771D" w:rsidTr="00821F68">
        <w:trPr>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821F68" w:rsidRPr="006E636F" w:rsidRDefault="00821F68" w:rsidP="0054771D">
            <w:pPr>
              <w:jc w:val="left"/>
              <w:rPr>
                <w:rFonts w:cs="Calibri"/>
                <w:b/>
                <w:bCs/>
                <w:color w:val="000000"/>
                <w:sz w:val="20"/>
                <w:szCs w:val="20"/>
                <w:lang w:eastAsia="pt-BR"/>
              </w:rPr>
            </w:pPr>
            <w:proofErr w:type="gramStart"/>
            <w:r w:rsidRPr="006E636F">
              <w:rPr>
                <w:rFonts w:cs="Calibri"/>
                <w:b/>
                <w:bCs/>
                <w:color w:val="000000"/>
                <w:sz w:val="20"/>
                <w:szCs w:val="20"/>
                <w:lang w:eastAsia="pt-BR"/>
              </w:rPr>
              <w:t>via</w:t>
            </w:r>
            <w:proofErr w:type="gramEnd"/>
            <w:r w:rsidRPr="006E636F">
              <w:rPr>
                <w:rFonts w:cs="Calibri"/>
                <w:b/>
                <w:bCs/>
                <w:color w:val="000000"/>
                <w:sz w:val="20"/>
                <w:szCs w:val="20"/>
                <w:lang w:eastAsia="pt-BR"/>
              </w:rPr>
              <w:t xml:space="preserve"> oficial de circulação de veículos ou pedestres</w:t>
            </w:r>
          </w:p>
        </w:tc>
        <w:tc>
          <w:tcPr>
            <w:tcW w:w="10205" w:type="dxa"/>
            <w:tcBorders>
              <w:top w:val="nil"/>
              <w:left w:val="nil"/>
              <w:bottom w:val="single" w:sz="4" w:space="0" w:color="auto"/>
              <w:right w:val="single" w:sz="8" w:space="0" w:color="auto"/>
            </w:tcBorders>
            <w:shd w:val="clear" w:color="000000" w:fill="FFFFFF"/>
            <w:vAlign w:val="center"/>
          </w:tcPr>
          <w:p w:rsidR="00821F68" w:rsidRPr="006E636F" w:rsidRDefault="00821F68" w:rsidP="0054771D">
            <w:pPr>
              <w:jc w:val="left"/>
              <w:rPr>
                <w:rFonts w:cs="Calibri"/>
                <w:color w:val="000000"/>
                <w:sz w:val="20"/>
                <w:szCs w:val="20"/>
                <w:lang w:eastAsia="pt-BR"/>
              </w:rPr>
            </w:pPr>
            <w:proofErr w:type="gramStart"/>
            <w:r w:rsidRPr="006E636F">
              <w:rPr>
                <w:rFonts w:cs="Calibri"/>
                <w:color w:val="000000"/>
                <w:sz w:val="20"/>
                <w:szCs w:val="20"/>
                <w:lang w:eastAsia="pt-BR"/>
              </w:rPr>
              <w:t>é</w:t>
            </w:r>
            <w:proofErr w:type="gramEnd"/>
            <w:r w:rsidRPr="006E636F">
              <w:rPr>
                <w:rFonts w:cs="Calibri"/>
                <w:color w:val="000000"/>
                <w:sz w:val="20"/>
                <w:szCs w:val="20"/>
                <w:lang w:eastAsia="pt-BR"/>
              </w:rPr>
              <w:t xml:space="preserve"> aquela aceita, declarada ou reconhecida como oficial pel</w:t>
            </w:r>
            <w:r>
              <w:rPr>
                <w:rFonts w:cs="Calibri"/>
                <w:color w:val="000000"/>
                <w:sz w:val="20"/>
                <w:szCs w:val="20"/>
                <w:lang w:eastAsia="pt-BR"/>
              </w:rPr>
              <w:t>o Executivo;</w:t>
            </w:r>
          </w:p>
        </w:tc>
      </w:tr>
      <w:tr w:rsidR="00821F68" w:rsidRPr="0054771D" w:rsidTr="00821F68">
        <w:trPr>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821F68" w:rsidRPr="006E636F" w:rsidRDefault="00821F68" w:rsidP="0054771D">
            <w:pPr>
              <w:jc w:val="left"/>
              <w:rPr>
                <w:rFonts w:cs="Calibri"/>
                <w:b/>
                <w:bCs/>
                <w:color w:val="000000"/>
                <w:sz w:val="20"/>
                <w:szCs w:val="20"/>
                <w:lang w:eastAsia="pt-BR"/>
              </w:rPr>
            </w:pPr>
            <w:r w:rsidRPr="006E636F">
              <w:rPr>
                <w:rFonts w:cs="Calibri"/>
                <w:b/>
                <w:bCs/>
                <w:color w:val="000000"/>
                <w:sz w:val="20"/>
                <w:szCs w:val="20"/>
                <w:lang w:eastAsia="pt-BR"/>
              </w:rPr>
              <w:t>b) via particular de circulação de veículos ou pedestres</w:t>
            </w:r>
          </w:p>
        </w:tc>
        <w:tc>
          <w:tcPr>
            <w:tcW w:w="10205" w:type="dxa"/>
            <w:tcBorders>
              <w:top w:val="nil"/>
              <w:left w:val="nil"/>
              <w:bottom w:val="single" w:sz="4" w:space="0" w:color="auto"/>
              <w:right w:val="single" w:sz="8" w:space="0" w:color="auto"/>
            </w:tcBorders>
            <w:shd w:val="clear" w:color="000000" w:fill="FFFFFF"/>
            <w:vAlign w:val="center"/>
          </w:tcPr>
          <w:p w:rsidR="00821F68" w:rsidRPr="006E636F" w:rsidRDefault="00821F68" w:rsidP="0054771D">
            <w:pPr>
              <w:jc w:val="left"/>
              <w:rPr>
                <w:rFonts w:cs="Calibri"/>
                <w:color w:val="000000"/>
                <w:sz w:val="20"/>
                <w:szCs w:val="20"/>
                <w:lang w:eastAsia="pt-BR"/>
              </w:rPr>
            </w:pPr>
            <w:proofErr w:type="gramStart"/>
            <w:r w:rsidRPr="006E636F">
              <w:rPr>
                <w:rFonts w:cs="Calibri"/>
                <w:color w:val="000000"/>
                <w:sz w:val="20"/>
                <w:szCs w:val="20"/>
                <w:lang w:eastAsia="pt-BR"/>
              </w:rPr>
              <w:t>é</w:t>
            </w:r>
            <w:proofErr w:type="gramEnd"/>
            <w:r w:rsidRPr="006E636F">
              <w:rPr>
                <w:rFonts w:cs="Calibri"/>
                <w:color w:val="000000"/>
                <w:sz w:val="20"/>
                <w:szCs w:val="20"/>
                <w:lang w:eastAsia="pt-BR"/>
              </w:rPr>
              <w:t xml:space="preserve"> aquela de propriedade privada, mesmo quando aberta ao uso público.</w:t>
            </w:r>
          </w:p>
        </w:tc>
      </w:tr>
      <w:tr w:rsidR="00821F68" w:rsidRPr="0054771D" w:rsidTr="00821F68">
        <w:trPr>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821F68" w:rsidRPr="006E636F" w:rsidRDefault="00821F68" w:rsidP="0054771D">
            <w:pPr>
              <w:jc w:val="left"/>
              <w:rPr>
                <w:rFonts w:cs="Calibri"/>
                <w:b/>
                <w:bCs/>
                <w:sz w:val="20"/>
                <w:szCs w:val="20"/>
                <w:lang w:eastAsia="pt-BR"/>
              </w:rPr>
            </w:pPr>
            <w:r w:rsidRPr="006E636F">
              <w:rPr>
                <w:rFonts w:cs="Calibri"/>
                <w:b/>
                <w:bCs/>
                <w:sz w:val="20"/>
                <w:szCs w:val="20"/>
                <w:lang w:eastAsia="pt-BR"/>
              </w:rPr>
              <w:t>Via sem saída</w:t>
            </w:r>
          </w:p>
        </w:tc>
        <w:tc>
          <w:tcPr>
            <w:tcW w:w="10205" w:type="dxa"/>
            <w:tcBorders>
              <w:top w:val="nil"/>
              <w:left w:val="nil"/>
              <w:bottom w:val="single" w:sz="4" w:space="0" w:color="auto"/>
              <w:right w:val="single" w:sz="8" w:space="0" w:color="auto"/>
            </w:tcBorders>
            <w:shd w:val="clear" w:color="000000" w:fill="FFFFFF"/>
            <w:vAlign w:val="center"/>
          </w:tcPr>
          <w:p w:rsidR="00821F68" w:rsidRPr="006E636F" w:rsidRDefault="00821F68" w:rsidP="0054771D">
            <w:pPr>
              <w:jc w:val="left"/>
              <w:rPr>
                <w:rFonts w:cs="Calibri"/>
                <w:sz w:val="20"/>
                <w:szCs w:val="20"/>
                <w:lang w:eastAsia="pt-BR"/>
              </w:rPr>
            </w:pPr>
            <w:r w:rsidRPr="006E636F">
              <w:rPr>
                <w:rFonts w:cs="Calibri"/>
                <w:sz w:val="20"/>
                <w:szCs w:val="20"/>
                <w:lang w:eastAsia="pt-BR"/>
              </w:rPr>
              <w:t>Via oficial cujo acesso se dá por meio de uma única via de circulação de veículos e cujo traçado original não tem continuidade com a malha viária na sua outra extremidade.</w:t>
            </w:r>
          </w:p>
        </w:tc>
      </w:tr>
      <w:tr w:rsidR="00821F68" w:rsidRPr="0054771D" w:rsidTr="00821F68">
        <w:trPr>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821F68" w:rsidRPr="006E636F" w:rsidRDefault="00821F68" w:rsidP="0054771D">
            <w:pPr>
              <w:jc w:val="left"/>
              <w:rPr>
                <w:rFonts w:cs="Calibri"/>
                <w:b/>
                <w:bCs/>
                <w:sz w:val="20"/>
                <w:szCs w:val="20"/>
                <w:lang w:eastAsia="pt-BR"/>
              </w:rPr>
            </w:pPr>
            <w:r w:rsidRPr="006E636F">
              <w:rPr>
                <w:rFonts w:cs="Calibri"/>
                <w:b/>
                <w:bCs/>
                <w:sz w:val="20"/>
                <w:szCs w:val="20"/>
                <w:lang w:eastAsia="pt-BR"/>
              </w:rPr>
              <w:t>Via com característica de via sem saída</w:t>
            </w:r>
          </w:p>
        </w:tc>
        <w:tc>
          <w:tcPr>
            <w:tcW w:w="10205" w:type="dxa"/>
            <w:tcBorders>
              <w:top w:val="nil"/>
              <w:left w:val="nil"/>
              <w:bottom w:val="single" w:sz="4" w:space="0" w:color="auto"/>
              <w:right w:val="single" w:sz="8" w:space="0" w:color="auto"/>
            </w:tcBorders>
            <w:shd w:val="clear" w:color="000000" w:fill="FFFFFF"/>
            <w:vAlign w:val="center"/>
          </w:tcPr>
          <w:p w:rsidR="00821F68" w:rsidRPr="006E636F" w:rsidRDefault="00821F68" w:rsidP="0054771D">
            <w:pPr>
              <w:jc w:val="left"/>
              <w:rPr>
                <w:rFonts w:cs="Calibri"/>
                <w:sz w:val="20"/>
                <w:szCs w:val="20"/>
                <w:lang w:eastAsia="pt-BR"/>
              </w:rPr>
            </w:pPr>
            <w:r w:rsidRPr="006E636F">
              <w:rPr>
                <w:rFonts w:cs="Calibri"/>
                <w:sz w:val="20"/>
                <w:szCs w:val="20"/>
                <w:lang w:eastAsia="pt-BR"/>
              </w:rPr>
              <w:t xml:space="preserve">Via oficial de âmbito local com relevância primordialmente para o acesso aos lotes fiscais nela localizada. </w:t>
            </w:r>
          </w:p>
        </w:tc>
      </w:tr>
      <w:tr w:rsidR="00821F68" w:rsidRPr="0054771D" w:rsidTr="00821F68">
        <w:trPr>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821F68" w:rsidRPr="006E636F" w:rsidRDefault="00821F68" w:rsidP="0054771D">
            <w:pPr>
              <w:jc w:val="left"/>
              <w:rPr>
                <w:rFonts w:cs="Calibri"/>
                <w:b/>
                <w:bCs/>
                <w:sz w:val="20"/>
                <w:szCs w:val="20"/>
                <w:lang w:eastAsia="pt-BR"/>
              </w:rPr>
            </w:pPr>
            <w:r w:rsidRPr="006E636F">
              <w:rPr>
                <w:rFonts w:cs="Calibri"/>
                <w:b/>
                <w:bCs/>
                <w:sz w:val="20"/>
                <w:szCs w:val="20"/>
                <w:lang w:eastAsia="pt-BR"/>
              </w:rPr>
              <w:t>Vila</w:t>
            </w:r>
          </w:p>
        </w:tc>
        <w:tc>
          <w:tcPr>
            <w:tcW w:w="10205" w:type="dxa"/>
            <w:tcBorders>
              <w:top w:val="nil"/>
              <w:left w:val="nil"/>
              <w:bottom w:val="single" w:sz="4" w:space="0" w:color="auto"/>
              <w:right w:val="single" w:sz="8" w:space="0" w:color="auto"/>
            </w:tcBorders>
            <w:shd w:val="clear" w:color="000000" w:fill="FFFFFF"/>
            <w:vAlign w:val="center"/>
          </w:tcPr>
          <w:p w:rsidR="00821F68" w:rsidRPr="006E636F" w:rsidRDefault="00821F68" w:rsidP="0054771D">
            <w:pPr>
              <w:jc w:val="left"/>
              <w:rPr>
                <w:rFonts w:cs="Calibri"/>
                <w:sz w:val="20"/>
                <w:szCs w:val="20"/>
                <w:lang w:eastAsia="pt-BR"/>
              </w:rPr>
            </w:pPr>
            <w:r w:rsidRPr="006E636F">
              <w:rPr>
                <w:rFonts w:cs="Calibri"/>
                <w:sz w:val="20"/>
                <w:szCs w:val="20"/>
                <w:lang w:eastAsia="pt-BR"/>
              </w:rPr>
              <w:t>Conjunto de lotes fiscais, originalmente destinados à habitação, constituído de casas geminadas, cujo acesso se dá por meio de via de circulação de veículos de modo a formar rua ou praça no interior da quadra com ou sem caráter de logradouro público.</w:t>
            </w:r>
          </w:p>
        </w:tc>
      </w:tr>
    </w:tbl>
    <w:p w:rsidR="00BD12E6" w:rsidRPr="006F7B1A" w:rsidRDefault="00BD12E6" w:rsidP="002A1B54">
      <w:pPr>
        <w:rPr>
          <w:sz w:val="18"/>
          <w:szCs w:val="18"/>
        </w:rPr>
      </w:pPr>
      <w:bookmarkStart w:id="0" w:name="_GoBack"/>
      <w:bookmarkEnd w:id="0"/>
    </w:p>
    <w:sectPr w:rsidR="00BD12E6" w:rsidRPr="006F7B1A" w:rsidSect="002A1B54">
      <w:headerReference w:type="default" r:id="rId9"/>
      <w:footerReference w:type="default" r:id="rId10"/>
      <w:pgSz w:w="16840" w:h="11907" w:orient="landscape" w:code="9"/>
      <w:pgMar w:top="720" w:right="720" w:bottom="720" w:left="720" w:header="510"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FF" w:rsidRDefault="00444FFF" w:rsidP="002F30E1">
      <w:r>
        <w:separator/>
      </w:r>
    </w:p>
  </w:endnote>
  <w:endnote w:type="continuationSeparator" w:id="0">
    <w:p w:rsidR="00444FFF" w:rsidRDefault="00444FFF" w:rsidP="002F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48" w:rsidRPr="002F30E1" w:rsidRDefault="00612848" w:rsidP="002F30E1">
    <w:pPr>
      <w:pStyle w:val="Rodap"/>
      <w:jc w:val="right"/>
      <w:rPr>
        <w:rFonts w:ascii="Calibri" w:hAnsi="Calibri" w:cs="Calibri"/>
        <w:sz w:val="20"/>
        <w:szCs w:val="20"/>
      </w:rPr>
    </w:pPr>
    <w:r w:rsidRPr="002F30E1">
      <w:rPr>
        <w:rFonts w:ascii="Calibri" w:hAnsi="Calibri" w:cs="Calibri"/>
        <w:sz w:val="20"/>
        <w:szCs w:val="20"/>
      </w:rPr>
      <w:t xml:space="preserve">Página </w:t>
    </w:r>
    <w:r w:rsidRPr="002F30E1">
      <w:rPr>
        <w:rFonts w:ascii="Calibri" w:hAnsi="Calibri" w:cs="Calibri"/>
        <w:b/>
        <w:bCs/>
        <w:sz w:val="20"/>
        <w:szCs w:val="20"/>
      </w:rPr>
      <w:fldChar w:fldCharType="begin"/>
    </w:r>
    <w:r w:rsidRPr="002F30E1">
      <w:rPr>
        <w:rFonts w:ascii="Calibri" w:hAnsi="Calibri" w:cs="Calibri"/>
        <w:b/>
        <w:bCs/>
        <w:sz w:val="20"/>
        <w:szCs w:val="20"/>
      </w:rPr>
      <w:instrText>PAGE</w:instrText>
    </w:r>
    <w:r w:rsidRPr="002F30E1">
      <w:rPr>
        <w:rFonts w:ascii="Calibri" w:hAnsi="Calibri" w:cs="Calibri"/>
        <w:b/>
        <w:bCs/>
        <w:sz w:val="20"/>
        <w:szCs w:val="20"/>
      </w:rPr>
      <w:fldChar w:fldCharType="separate"/>
    </w:r>
    <w:r w:rsidR="002A1B54">
      <w:rPr>
        <w:rFonts w:ascii="Calibri" w:hAnsi="Calibri" w:cs="Calibri"/>
        <w:b/>
        <w:bCs/>
        <w:noProof/>
        <w:sz w:val="20"/>
        <w:szCs w:val="20"/>
      </w:rPr>
      <w:t>3</w:t>
    </w:r>
    <w:r w:rsidRPr="002F30E1">
      <w:rPr>
        <w:rFonts w:ascii="Calibri" w:hAnsi="Calibri" w:cs="Calibri"/>
        <w:b/>
        <w:bCs/>
        <w:sz w:val="20"/>
        <w:szCs w:val="20"/>
      </w:rPr>
      <w:fldChar w:fldCharType="end"/>
    </w:r>
    <w:r w:rsidRPr="002F30E1">
      <w:rPr>
        <w:rFonts w:ascii="Calibri" w:hAnsi="Calibri" w:cs="Calibri"/>
        <w:sz w:val="20"/>
        <w:szCs w:val="20"/>
      </w:rPr>
      <w:t xml:space="preserve"> de </w:t>
    </w:r>
    <w:r w:rsidRPr="002F30E1">
      <w:rPr>
        <w:rFonts w:ascii="Calibri" w:hAnsi="Calibri" w:cs="Calibri"/>
        <w:b/>
        <w:bCs/>
        <w:sz w:val="20"/>
        <w:szCs w:val="20"/>
      </w:rPr>
      <w:fldChar w:fldCharType="begin"/>
    </w:r>
    <w:r w:rsidRPr="002F30E1">
      <w:rPr>
        <w:rFonts w:ascii="Calibri" w:hAnsi="Calibri" w:cs="Calibri"/>
        <w:b/>
        <w:bCs/>
        <w:sz w:val="20"/>
        <w:szCs w:val="20"/>
      </w:rPr>
      <w:instrText>NUMPAGES</w:instrText>
    </w:r>
    <w:r w:rsidRPr="002F30E1">
      <w:rPr>
        <w:rFonts w:ascii="Calibri" w:hAnsi="Calibri" w:cs="Calibri"/>
        <w:b/>
        <w:bCs/>
        <w:sz w:val="20"/>
        <w:szCs w:val="20"/>
      </w:rPr>
      <w:fldChar w:fldCharType="separate"/>
    </w:r>
    <w:r w:rsidR="002A1B54">
      <w:rPr>
        <w:rFonts w:ascii="Calibri" w:hAnsi="Calibri" w:cs="Calibri"/>
        <w:b/>
        <w:bCs/>
        <w:noProof/>
        <w:sz w:val="20"/>
        <w:szCs w:val="20"/>
      </w:rPr>
      <w:t>6</w:t>
    </w:r>
    <w:r w:rsidRPr="002F30E1">
      <w:rPr>
        <w:rFonts w:ascii="Calibri" w:hAnsi="Calibri" w:cs="Calibri"/>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FF" w:rsidRDefault="00444FFF" w:rsidP="002F30E1">
      <w:r>
        <w:separator/>
      </w:r>
    </w:p>
  </w:footnote>
  <w:footnote w:type="continuationSeparator" w:id="0">
    <w:p w:rsidR="00444FFF" w:rsidRDefault="00444FFF" w:rsidP="002F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48" w:rsidRPr="00491889" w:rsidRDefault="00612848" w:rsidP="000175C1">
    <w:pPr>
      <w:pStyle w:val="Cabealho"/>
      <w:tabs>
        <w:tab w:val="clear" w:pos="8504"/>
        <w:tab w:val="left" w:pos="6066"/>
      </w:tabs>
      <w:spacing w:after="120"/>
      <w:rPr>
        <w:rFonts w:ascii="Calibri" w:hAnsi="Calibri" w:cs="Calibri"/>
      </w:rPr>
    </w:pPr>
    <w:r w:rsidRPr="0019258B">
      <w:rPr>
        <w:rFonts w:ascii="Calibri" w:hAnsi="Calibri"/>
        <w:sz w:val="22"/>
        <w:szCs w:val="22"/>
        <w:lang w:val="pt-BR" w:eastAsia="pt-BR"/>
      </w:rPr>
      <w:object w:dxaOrig="23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24.3pt;visibility:visible" o:ole="">
          <v:imagedata r:id="rId1" o:title=""/>
        </v:shape>
        <o:OLEObject Type="Embed" ProgID="StaticMetafile" ShapeID="_x0000_i1025" DrawAspect="Content" ObjectID="_1489320282" r:id="rId2"/>
      </w:object>
    </w:r>
    <w:r>
      <w:rPr>
        <w:rFonts w:ascii="Calibri" w:hAnsi="Calibri"/>
        <w:sz w:val="22"/>
        <w:szCs w:val="22"/>
        <w:lang w:val="pt-BR" w:eastAsia="pt-BR"/>
      </w:rPr>
      <w:t xml:space="preserve">     </w:t>
    </w:r>
    <w:r w:rsidR="00F41366" w:rsidRPr="00E43F1B">
      <w:rPr>
        <w:rFonts w:ascii="Calibri" w:hAnsi="Calibri" w:cs="Calibri"/>
        <w:b/>
      </w:rPr>
      <w:t>REVISÃO PARTICIPATIVA</w:t>
    </w:r>
    <w:r w:rsidR="00F41366">
      <w:rPr>
        <w:rFonts w:ascii="Calibri" w:hAnsi="Calibri" w:cs="Calibri"/>
        <w:b/>
        <w:lang w:val="pt-BR"/>
      </w:rPr>
      <w:t xml:space="preserve"> DA LPUOS: NOVA MINUTA DO PROJETO DE LEI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CB5"/>
    <w:multiLevelType w:val="hybridMultilevel"/>
    <w:tmpl w:val="6F22EC80"/>
    <w:lvl w:ilvl="0" w:tplc="4804129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AB27A28"/>
    <w:multiLevelType w:val="hybridMultilevel"/>
    <w:tmpl w:val="CEE4A2EE"/>
    <w:lvl w:ilvl="0" w:tplc="ED2E8230">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B7667DC"/>
    <w:multiLevelType w:val="multilevel"/>
    <w:tmpl w:val="FACAD006"/>
    <w:lvl w:ilvl="0">
      <w:start w:val="1"/>
      <w:numFmt w:val="upperRoman"/>
      <w:pStyle w:val="CabealhodoSumrio1"/>
      <w:suff w:val="nothing"/>
      <w:lvlText w:val="Capítulo %1 - "/>
      <w:lvlJc w:val="left"/>
      <w:rPr>
        <w:rFonts w:cs="Times New Roman" w:hint="default"/>
      </w:rPr>
    </w:lvl>
    <w:lvl w:ilvl="1">
      <w:start w:val="1"/>
      <w:numFmt w:val="upperRoman"/>
      <w:suff w:val="nothing"/>
      <w:lvlText w:val="Seção %2 - "/>
      <w:lvlJc w:val="left"/>
      <w:pPr>
        <w:ind w:left="284"/>
      </w:pPr>
      <w:rPr>
        <w:rFonts w:cs="Times New Roman" w:hint="default"/>
      </w:rPr>
    </w:lvl>
    <w:lvl w:ilvl="2">
      <w:start w:val="1"/>
      <w:numFmt w:val="decimal"/>
      <w:lvlRestart w:val="0"/>
      <w:suff w:val="nothing"/>
      <w:lvlText w:val="Art. %3 - "/>
      <w:lvlJc w:val="left"/>
      <w:pPr>
        <w:ind w:left="568"/>
      </w:pPr>
      <w:rPr>
        <w:rFonts w:cs="Times New Roman" w:hint="default"/>
      </w:rPr>
    </w:lvl>
    <w:lvl w:ilvl="3">
      <w:start w:val="1"/>
      <w:numFmt w:val="decimal"/>
      <w:suff w:val="nothing"/>
      <w:lvlText w:val="§ %4º - "/>
      <w:lvlJc w:val="left"/>
      <w:pPr>
        <w:ind w:left="852"/>
      </w:pPr>
      <w:rPr>
        <w:rFonts w:cs="Times New Roman" w:hint="default"/>
      </w:rPr>
    </w:lvl>
    <w:lvl w:ilvl="4">
      <w:start w:val="1"/>
      <w:numFmt w:val="upperRoman"/>
      <w:suff w:val="nothing"/>
      <w:lvlText w:val="%5 - "/>
      <w:lvlJc w:val="left"/>
      <w:pPr>
        <w:ind w:left="1136"/>
      </w:pPr>
      <w:rPr>
        <w:rFonts w:cs="Times New Roman" w:hint="default"/>
      </w:rPr>
    </w:lvl>
    <w:lvl w:ilvl="5">
      <w:start w:val="1"/>
      <w:numFmt w:val="lowerLetter"/>
      <w:suff w:val="nothing"/>
      <w:lvlText w:val="%6) "/>
      <w:lvlJc w:val="left"/>
      <w:pPr>
        <w:ind w:left="1420"/>
      </w:pPr>
      <w:rPr>
        <w:rFonts w:cs="Times New Roman" w:hint="default"/>
      </w:rPr>
    </w:lvl>
    <w:lvl w:ilvl="6">
      <w:start w:val="1"/>
      <w:numFmt w:val="decimal"/>
      <w:lvlText w:val="%7."/>
      <w:lvlJc w:val="left"/>
      <w:pPr>
        <w:ind w:left="1704"/>
      </w:pPr>
      <w:rPr>
        <w:rFonts w:cs="Times New Roman" w:hint="default"/>
      </w:rPr>
    </w:lvl>
    <w:lvl w:ilvl="7">
      <w:start w:val="1"/>
      <w:numFmt w:val="lowerLetter"/>
      <w:lvlText w:val="%8."/>
      <w:lvlJc w:val="left"/>
      <w:pPr>
        <w:ind w:left="1988"/>
      </w:pPr>
      <w:rPr>
        <w:rFonts w:cs="Times New Roman" w:hint="default"/>
      </w:rPr>
    </w:lvl>
    <w:lvl w:ilvl="8">
      <w:start w:val="1"/>
      <w:numFmt w:val="lowerRoman"/>
      <w:lvlText w:val="%9."/>
      <w:lvlJc w:val="right"/>
      <w:pPr>
        <w:ind w:left="2272"/>
      </w:pPr>
      <w:rPr>
        <w:rFonts w:cs="Times New Roman" w:hint="default"/>
      </w:rPr>
    </w:lvl>
  </w:abstractNum>
  <w:abstractNum w:abstractNumId="3">
    <w:nsid w:val="115A591F"/>
    <w:multiLevelType w:val="hybridMultilevel"/>
    <w:tmpl w:val="C952C782"/>
    <w:lvl w:ilvl="0" w:tplc="BB6810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656877"/>
    <w:multiLevelType w:val="hybridMultilevel"/>
    <w:tmpl w:val="3E803048"/>
    <w:lvl w:ilvl="0" w:tplc="89AE6CAA">
      <w:start w:val="2"/>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AA01CCF"/>
    <w:multiLevelType w:val="hybridMultilevel"/>
    <w:tmpl w:val="DDEC237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2B951ECD"/>
    <w:multiLevelType w:val="hybridMultilevel"/>
    <w:tmpl w:val="D95AC91C"/>
    <w:lvl w:ilvl="0" w:tplc="9D5C7F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3B4A3C"/>
    <w:multiLevelType w:val="hybridMultilevel"/>
    <w:tmpl w:val="F202F16E"/>
    <w:lvl w:ilvl="0" w:tplc="F49A81D2">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304E56B8"/>
    <w:multiLevelType w:val="hybridMultilevel"/>
    <w:tmpl w:val="4580D13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34D4549B"/>
    <w:multiLevelType w:val="hybridMultilevel"/>
    <w:tmpl w:val="67F0F1C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A976872"/>
    <w:multiLevelType w:val="hybridMultilevel"/>
    <w:tmpl w:val="78E6807E"/>
    <w:lvl w:ilvl="0" w:tplc="37BEFE1C">
      <w:start w:val="1"/>
      <w:numFmt w:val="upperRoman"/>
      <w:lvlText w:val="%1."/>
      <w:lvlJc w:val="righ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nsid w:val="3BD75BC4"/>
    <w:multiLevelType w:val="hybridMultilevel"/>
    <w:tmpl w:val="993AEB44"/>
    <w:lvl w:ilvl="0" w:tplc="191234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320879"/>
    <w:multiLevelType w:val="hybridMultilevel"/>
    <w:tmpl w:val="826CC67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3D5063D9"/>
    <w:multiLevelType w:val="hybridMultilevel"/>
    <w:tmpl w:val="9B1625BA"/>
    <w:lvl w:ilvl="0" w:tplc="879615B8">
      <w:start w:val="1"/>
      <w:numFmt w:val="upperRoman"/>
      <w:lvlText w:val="%1."/>
      <w:lvlJc w:val="righ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2BC67EE"/>
    <w:multiLevelType w:val="hybridMultilevel"/>
    <w:tmpl w:val="E556BB26"/>
    <w:lvl w:ilvl="0" w:tplc="C4547654">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46AB547E"/>
    <w:multiLevelType w:val="hybridMultilevel"/>
    <w:tmpl w:val="70F49DAC"/>
    <w:lvl w:ilvl="0" w:tplc="FB72EA5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4997754D"/>
    <w:multiLevelType w:val="hybridMultilevel"/>
    <w:tmpl w:val="EE7ED9BE"/>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4C9A75C3"/>
    <w:multiLevelType w:val="hybridMultilevel"/>
    <w:tmpl w:val="F99C8158"/>
    <w:lvl w:ilvl="0" w:tplc="6AD4B13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8">
    <w:nsid w:val="4EDB6EE9"/>
    <w:multiLevelType w:val="hybridMultilevel"/>
    <w:tmpl w:val="C952C782"/>
    <w:lvl w:ilvl="0" w:tplc="BB6810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A7174F"/>
    <w:multiLevelType w:val="hybridMultilevel"/>
    <w:tmpl w:val="61A8EB9C"/>
    <w:lvl w:ilvl="0" w:tplc="28A0E94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5352359"/>
    <w:multiLevelType w:val="hybridMultilevel"/>
    <w:tmpl w:val="79C2AA8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57F04B5C"/>
    <w:multiLevelType w:val="hybridMultilevel"/>
    <w:tmpl w:val="BF96520C"/>
    <w:lvl w:ilvl="0" w:tplc="FB72EA5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608B7917"/>
    <w:multiLevelType w:val="hybridMultilevel"/>
    <w:tmpl w:val="4CF23E6A"/>
    <w:lvl w:ilvl="0" w:tplc="74B83DA4">
      <w:start w:val="2"/>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3213E9"/>
    <w:multiLevelType w:val="hybridMultilevel"/>
    <w:tmpl w:val="BBE24732"/>
    <w:lvl w:ilvl="0" w:tplc="BDCA8F3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5BD5302"/>
    <w:multiLevelType w:val="hybridMultilevel"/>
    <w:tmpl w:val="8982B3F0"/>
    <w:lvl w:ilvl="0" w:tplc="D2F4883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66BC0607"/>
    <w:multiLevelType w:val="hybridMultilevel"/>
    <w:tmpl w:val="469E8076"/>
    <w:lvl w:ilvl="0" w:tplc="8F6CC6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AB326AC"/>
    <w:multiLevelType w:val="hybridMultilevel"/>
    <w:tmpl w:val="5A48095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6E7B45BF"/>
    <w:multiLevelType w:val="hybridMultilevel"/>
    <w:tmpl w:val="C71C1A1E"/>
    <w:lvl w:ilvl="0" w:tplc="B7223DA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0205442"/>
    <w:multiLevelType w:val="hybridMultilevel"/>
    <w:tmpl w:val="341A2904"/>
    <w:lvl w:ilvl="0" w:tplc="3BEAE6F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0C35CB"/>
    <w:multiLevelType w:val="hybridMultilevel"/>
    <w:tmpl w:val="E556BB26"/>
    <w:lvl w:ilvl="0" w:tplc="C4547654">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nsid w:val="711B67D2"/>
    <w:multiLevelType w:val="hybridMultilevel"/>
    <w:tmpl w:val="E72C39B4"/>
    <w:lvl w:ilvl="0" w:tplc="A37A0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F746B"/>
    <w:multiLevelType w:val="hybridMultilevel"/>
    <w:tmpl w:val="118C8CE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lvlOverride w:ilvl="0">
      <w:startOverride w:val="5"/>
    </w:lvlOverride>
    <w:lvlOverride w:ilvl="1">
      <w:startOverride w:val="1"/>
    </w:lvlOverride>
    <w:lvlOverride w:ilvl="2">
      <w:startOverride w:val="5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20"/>
  </w:num>
  <w:num w:numId="6">
    <w:abstractNumId w:val="5"/>
  </w:num>
  <w:num w:numId="7">
    <w:abstractNumId w:val="8"/>
  </w:num>
  <w:num w:numId="8">
    <w:abstractNumId w:val="7"/>
  </w:num>
  <w:num w:numId="9">
    <w:abstractNumId w:val="25"/>
  </w:num>
  <w:num w:numId="10">
    <w:abstractNumId w:val="30"/>
  </w:num>
  <w:num w:numId="11">
    <w:abstractNumId w:val="19"/>
  </w:num>
  <w:num w:numId="12">
    <w:abstractNumId w:val="23"/>
  </w:num>
  <w:num w:numId="13">
    <w:abstractNumId w:val="31"/>
  </w:num>
  <w:num w:numId="14">
    <w:abstractNumId w:val="27"/>
  </w:num>
  <w:num w:numId="15">
    <w:abstractNumId w:val="11"/>
  </w:num>
  <w:num w:numId="16">
    <w:abstractNumId w:val="0"/>
  </w:num>
  <w:num w:numId="17">
    <w:abstractNumId w:val="4"/>
  </w:num>
  <w:num w:numId="18">
    <w:abstractNumId w:val="22"/>
  </w:num>
  <w:num w:numId="19">
    <w:abstractNumId w:val="16"/>
  </w:num>
  <w:num w:numId="20">
    <w:abstractNumId w:val="28"/>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46"/>
    <w:rsid w:val="0000027F"/>
    <w:rsid w:val="0000091D"/>
    <w:rsid w:val="00000C2F"/>
    <w:rsid w:val="000014F2"/>
    <w:rsid w:val="0000236A"/>
    <w:rsid w:val="0000741E"/>
    <w:rsid w:val="00012612"/>
    <w:rsid w:val="00014ACB"/>
    <w:rsid w:val="000175C1"/>
    <w:rsid w:val="000211C3"/>
    <w:rsid w:val="0002235A"/>
    <w:rsid w:val="0002574B"/>
    <w:rsid w:val="00031537"/>
    <w:rsid w:val="00032B12"/>
    <w:rsid w:val="00032BBA"/>
    <w:rsid w:val="0003449B"/>
    <w:rsid w:val="0005155F"/>
    <w:rsid w:val="00051692"/>
    <w:rsid w:val="00053431"/>
    <w:rsid w:val="000623F3"/>
    <w:rsid w:val="00064DB5"/>
    <w:rsid w:val="00067018"/>
    <w:rsid w:val="000727CF"/>
    <w:rsid w:val="00072F97"/>
    <w:rsid w:val="00077A91"/>
    <w:rsid w:val="00077F6E"/>
    <w:rsid w:val="00080E01"/>
    <w:rsid w:val="00082C1E"/>
    <w:rsid w:val="00082F3C"/>
    <w:rsid w:val="00091C25"/>
    <w:rsid w:val="00092AE9"/>
    <w:rsid w:val="000942DF"/>
    <w:rsid w:val="000947B8"/>
    <w:rsid w:val="000950E7"/>
    <w:rsid w:val="00095986"/>
    <w:rsid w:val="00095F15"/>
    <w:rsid w:val="00097AE5"/>
    <w:rsid w:val="000A0F86"/>
    <w:rsid w:val="000A1839"/>
    <w:rsid w:val="000A35D2"/>
    <w:rsid w:val="000A369C"/>
    <w:rsid w:val="000A47BE"/>
    <w:rsid w:val="000A6638"/>
    <w:rsid w:val="000B29E7"/>
    <w:rsid w:val="000B379B"/>
    <w:rsid w:val="000B37E5"/>
    <w:rsid w:val="000B503C"/>
    <w:rsid w:val="000B535A"/>
    <w:rsid w:val="000C1277"/>
    <w:rsid w:val="000C32CB"/>
    <w:rsid w:val="000C346F"/>
    <w:rsid w:val="000C3C94"/>
    <w:rsid w:val="000C5404"/>
    <w:rsid w:val="000C5A5D"/>
    <w:rsid w:val="000C6AA1"/>
    <w:rsid w:val="000D11C5"/>
    <w:rsid w:val="000D5963"/>
    <w:rsid w:val="000D6989"/>
    <w:rsid w:val="000E1C63"/>
    <w:rsid w:val="000E45BA"/>
    <w:rsid w:val="000F2775"/>
    <w:rsid w:val="000F3D90"/>
    <w:rsid w:val="000F4093"/>
    <w:rsid w:val="000F5BAC"/>
    <w:rsid w:val="000F716E"/>
    <w:rsid w:val="000F7AC1"/>
    <w:rsid w:val="001018D7"/>
    <w:rsid w:val="00106DBC"/>
    <w:rsid w:val="00107649"/>
    <w:rsid w:val="00115684"/>
    <w:rsid w:val="001158A8"/>
    <w:rsid w:val="00115C0B"/>
    <w:rsid w:val="00116BA2"/>
    <w:rsid w:val="00117958"/>
    <w:rsid w:val="0012267E"/>
    <w:rsid w:val="00125639"/>
    <w:rsid w:val="00127FC9"/>
    <w:rsid w:val="00134BD4"/>
    <w:rsid w:val="00136542"/>
    <w:rsid w:val="00136A13"/>
    <w:rsid w:val="00137F92"/>
    <w:rsid w:val="00141E96"/>
    <w:rsid w:val="0014338F"/>
    <w:rsid w:val="0014437F"/>
    <w:rsid w:val="00144996"/>
    <w:rsid w:val="001464DC"/>
    <w:rsid w:val="00150594"/>
    <w:rsid w:val="00153279"/>
    <w:rsid w:val="001558BF"/>
    <w:rsid w:val="00156E58"/>
    <w:rsid w:val="00157412"/>
    <w:rsid w:val="00161A8E"/>
    <w:rsid w:val="00165D6B"/>
    <w:rsid w:val="00167B98"/>
    <w:rsid w:val="00171FAE"/>
    <w:rsid w:val="00174516"/>
    <w:rsid w:val="00174E5A"/>
    <w:rsid w:val="00175C2D"/>
    <w:rsid w:val="00176E2B"/>
    <w:rsid w:val="00177F4E"/>
    <w:rsid w:val="00181D1E"/>
    <w:rsid w:val="00182525"/>
    <w:rsid w:val="00183CB9"/>
    <w:rsid w:val="001842E5"/>
    <w:rsid w:val="00185A78"/>
    <w:rsid w:val="00191710"/>
    <w:rsid w:val="0019202F"/>
    <w:rsid w:val="0019258B"/>
    <w:rsid w:val="00193FAE"/>
    <w:rsid w:val="00195AED"/>
    <w:rsid w:val="001A09F2"/>
    <w:rsid w:val="001A4CCF"/>
    <w:rsid w:val="001A57F9"/>
    <w:rsid w:val="001A5B16"/>
    <w:rsid w:val="001A792D"/>
    <w:rsid w:val="001B3DF9"/>
    <w:rsid w:val="001C2A68"/>
    <w:rsid w:val="001C31C1"/>
    <w:rsid w:val="001C3E63"/>
    <w:rsid w:val="001C4A14"/>
    <w:rsid w:val="001C6FA1"/>
    <w:rsid w:val="001D25A1"/>
    <w:rsid w:val="001D27EB"/>
    <w:rsid w:val="001D318F"/>
    <w:rsid w:val="001D54DA"/>
    <w:rsid w:val="00200A3D"/>
    <w:rsid w:val="0020472A"/>
    <w:rsid w:val="002069E5"/>
    <w:rsid w:val="00207B37"/>
    <w:rsid w:val="00210006"/>
    <w:rsid w:val="00212225"/>
    <w:rsid w:val="00212D6F"/>
    <w:rsid w:val="00212FDC"/>
    <w:rsid w:val="002130CA"/>
    <w:rsid w:val="00213DA7"/>
    <w:rsid w:val="002147DC"/>
    <w:rsid w:val="002210FC"/>
    <w:rsid w:val="002229CD"/>
    <w:rsid w:val="00222B0A"/>
    <w:rsid w:val="0022367C"/>
    <w:rsid w:val="00227B09"/>
    <w:rsid w:val="0023167D"/>
    <w:rsid w:val="00231F6C"/>
    <w:rsid w:val="0023258A"/>
    <w:rsid w:val="00234F3F"/>
    <w:rsid w:val="00240D75"/>
    <w:rsid w:val="002448B2"/>
    <w:rsid w:val="0024565B"/>
    <w:rsid w:val="002463CC"/>
    <w:rsid w:val="00246DE0"/>
    <w:rsid w:val="00246F4E"/>
    <w:rsid w:val="00252795"/>
    <w:rsid w:val="00257971"/>
    <w:rsid w:val="00261DFE"/>
    <w:rsid w:val="00264B04"/>
    <w:rsid w:val="00266C37"/>
    <w:rsid w:val="002707DB"/>
    <w:rsid w:val="00270BC3"/>
    <w:rsid w:val="00273C0E"/>
    <w:rsid w:val="00275506"/>
    <w:rsid w:val="00282598"/>
    <w:rsid w:val="00282657"/>
    <w:rsid w:val="00283D97"/>
    <w:rsid w:val="00283E7F"/>
    <w:rsid w:val="002862ED"/>
    <w:rsid w:val="00290177"/>
    <w:rsid w:val="00290A40"/>
    <w:rsid w:val="00290F19"/>
    <w:rsid w:val="002954C9"/>
    <w:rsid w:val="00296077"/>
    <w:rsid w:val="002968BE"/>
    <w:rsid w:val="00296A94"/>
    <w:rsid w:val="002979F7"/>
    <w:rsid w:val="002A1B54"/>
    <w:rsid w:val="002A2F21"/>
    <w:rsid w:val="002A304A"/>
    <w:rsid w:val="002A338D"/>
    <w:rsid w:val="002A6E6D"/>
    <w:rsid w:val="002A7596"/>
    <w:rsid w:val="002B3E8B"/>
    <w:rsid w:val="002C2C88"/>
    <w:rsid w:val="002C6FE8"/>
    <w:rsid w:val="002D1EED"/>
    <w:rsid w:val="002E1142"/>
    <w:rsid w:val="002F04A9"/>
    <w:rsid w:val="002F0CBF"/>
    <w:rsid w:val="002F19E6"/>
    <w:rsid w:val="002F30E1"/>
    <w:rsid w:val="002F7144"/>
    <w:rsid w:val="002F7D28"/>
    <w:rsid w:val="0030244A"/>
    <w:rsid w:val="00304F41"/>
    <w:rsid w:val="003054D4"/>
    <w:rsid w:val="00305AB8"/>
    <w:rsid w:val="00305B58"/>
    <w:rsid w:val="00306BAA"/>
    <w:rsid w:val="003115B0"/>
    <w:rsid w:val="003128C6"/>
    <w:rsid w:val="00314D05"/>
    <w:rsid w:val="003153B4"/>
    <w:rsid w:val="00320CB0"/>
    <w:rsid w:val="00321BBE"/>
    <w:rsid w:val="00326CD5"/>
    <w:rsid w:val="003277BF"/>
    <w:rsid w:val="00330A9B"/>
    <w:rsid w:val="00332903"/>
    <w:rsid w:val="00335FCB"/>
    <w:rsid w:val="00340E9F"/>
    <w:rsid w:val="00341B42"/>
    <w:rsid w:val="0034249E"/>
    <w:rsid w:val="003424B5"/>
    <w:rsid w:val="0034340A"/>
    <w:rsid w:val="00344C5A"/>
    <w:rsid w:val="00345A15"/>
    <w:rsid w:val="00350D95"/>
    <w:rsid w:val="0035247C"/>
    <w:rsid w:val="00354DEB"/>
    <w:rsid w:val="00356702"/>
    <w:rsid w:val="00360C46"/>
    <w:rsid w:val="00370FEA"/>
    <w:rsid w:val="003712E5"/>
    <w:rsid w:val="00372930"/>
    <w:rsid w:val="0037294B"/>
    <w:rsid w:val="00373748"/>
    <w:rsid w:val="0037420C"/>
    <w:rsid w:val="0037593D"/>
    <w:rsid w:val="00377440"/>
    <w:rsid w:val="0037773A"/>
    <w:rsid w:val="00380118"/>
    <w:rsid w:val="0038397A"/>
    <w:rsid w:val="003908E7"/>
    <w:rsid w:val="0039261F"/>
    <w:rsid w:val="00395154"/>
    <w:rsid w:val="003A0183"/>
    <w:rsid w:val="003A054A"/>
    <w:rsid w:val="003A2570"/>
    <w:rsid w:val="003B2F37"/>
    <w:rsid w:val="003B371D"/>
    <w:rsid w:val="003B3F4D"/>
    <w:rsid w:val="003B4B47"/>
    <w:rsid w:val="003B5DF1"/>
    <w:rsid w:val="003B600F"/>
    <w:rsid w:val="003B7C88"/>
    <w:rsid w:val="003C4B56"/>
    <w:rsid w:val="003C68CE"/>
    <w:rsid w:val="003C7B4E"/>
    <w:rsid w:val="003D41B0"/>
    <w:rsid w:val="003D54FD"/>
    <w:rsid w:val="003E393E"/>
    <w:rsid w:val="003E40C3"/>
    <w:rsid w:val="003E626B"/>
    <w:rsid w:val="003F1614"/>
    <w:rsid w:val="003F419A"/>
    <w:rsid w:val="003F5A3F"/>
    <w:rsid w:val="003F5ADB"/>
    <w:rsid w:val="003F6B93"/>
    <w:rsid w:val="004004CA"/>
    <w:rsid w:val="004010B4"/>
    <w:rsid w:val="0041002E"/>
    <w:rsid w:val="00410919"/>
    <w:rsid w:val="00415910"/>
    <w:rsid w:val="00421FA4"/>
    <w:rsid w:val="00423A8A"/>
    <w:rsid w:val="00424208"/>
    <w:rsid w:val="00424D62"/>
    <w:rsid w:val="004259A7"/>
    <w:rsid w:val="00425E1B"/>
    <w:rsid w:val="00431F60"/>
    <w:rsid w:val="00432249"/>
    <w:rsid w:val="00432705"/>
    <w:rsid w:val="0043366E"/>
    <w:rsid w:val="00434801"/>
    <w:rsid w:val="00436B60"/>
    <w:rsid w:val="00436D4F"/>
    <w:rsid w:val="00437CB7"/>
    <w:rsid w:val="00444FFF"/>
    <w:rsid w:val="00451751"/>
    <w:rsid w:val="00453168"/>
    <w:rsid w:val="00454F06"/>
    <w:rsid w:val="0045551F"/>
    <w:rsid w:val="0045596C"/>
    <w:rsid w:val="00456706"/>
    <w:rsid w:val="00456F5F"/>
    <w:rsid w:val="004609EB"/>
    <w:rsid w:val="00465294"/>
    <w:rsid w:val="00466FB5"/>
    <w:rsid w:val="00472169"/>
    <w:rsid w:val="004803E9"/>
    <w:rsid w:val="004820D1"/>
    <w:rsid w:val="00482ED1"/>
    <w:rsid w:val="004846AB"/>
    <w:rsid w:val="00486DD5"/>
    <w:rsid w:val="00487302"/>
    <w:rsid w:val="00490046"/>
    <w:rsid w:val="00491889"/>
    <w:rsid w:val="00491F95"/>
    <w:rsid w:val="00494CF5"/>
    <w:rsid w:val="004A1A04"/>
    <w:rsid w:val="004A548C"/>
    <w:rsid w:val="004A7341"/>
    <w:rsid w:val="004B016B"/>
    <w:rsid w:val="004B39B5"/>
    <w:rsid w:val="004C1336"/>
    <w:rsid w:val="004D0234"/>
    <w:rsid w:val="004D08E9"/>
    <w:rsid w:val="004D5FF9"/>
    <w:rsid w:val="004D7B0A"/>
    <w:rsid w:val="004E0B4C"/>
    <w:rsid w:val="004E1F9E"/>
    <w:rsid w:val="004E6107"/>
    <w:rsid w:val="004F4EC5"/>
    <w:rsid w:val="004F5384"/>
    <w:rsid w:val="004F7879"/>
    <w:rsid w:val="005009C4"/>
    <w:rsid w:val="0050761F"/>
    <w:rsid w:val="00512EF5"/>
    <w:rsid w:val="0051554F"/>
    <w:rsid w:val="00520D88"/>
    <w:rsid w:val="00527019"/>
    <w:rsid w:val="00530907"/>
    <w:rsid w:val="005312D9"/>
    <w:rsid w:val="00532F94"/>
    <w:rsid w:val="00534807"/>
    <w:rsid w:val="00540BAC"/>
    <w:rsid w:val="005418A0"/>
    <w:rsid w:val="00544C59"/>
    <w:rsid w:val="0054771D"/>
    <w:rsid w:val="00550062"/>
    <w:rsid w:val="00553B89"/>
    <w:rsid w:val="00553E44"/>
    <w:rsid w:val="00555412"/>
    <w:rsid w:val="0056128D"/>
    <w:rsid w:val="00564023"/>
    <w:rsid w:val="0056633E"/>
    <w:rsid w:val="005663A3"/>
    <w:rsid w:val="00566EBF"/>
    <w:rsid w:val="0056721B"/>
    <w:rsid w:val="0057449C"/>
    <w:rsid w:val="00574638"/>
    <w:rsid w:val="00576900"/>
    <w:rsid w:val="00576F32"/>
    <w:rsid w:val="00577035"/>
    <w:rsid w:val="00577CBC"/>
    <w:rsid w:val="0058200F"/>
    <w:rsid w:val="00582CF5"/>
    <w:rsid w:val="0058537E"/>
    <w:rsid w:val="0059182C"/>
    <w:rsid w:val="005967D9"/>
    <w:rsid w:val="005A2151"/>
    <w:rsid w:val="005A2B36"/>
    <w:rsid w:val="005A2EC3"/>
    <w:rsid w:val="005A719C"/>
    <w:rsid w:val="005B29C9"/>
    <w:rsid w:val="005B4221"/>
    <w:rsid w:val="005B5231"/>
    <w:rsid w:val="005B6943"/>
    <w:rsid w:val="005B6FF0"/>
    <w:rsid w:val="005B7A56"/>
    <w:rsid w:val="005C05DD"/>
    <w:rsid w:val="005C3611"/>
    <w:rsid w:val="005C4AB5"/>
    <w:rsid w:val="005C68F4"/>
    <w:rsid w:val="005C6C18"/>
    <w:rsid w:val="005C6F4B"/>
    <w:rsid w:val="005D2435"/>
    <w:rsid w:val="005D40AD"/>
    <w:rsid w:val="005D4B59"/>
    <w:rsid w:val="005D4D65"/>
    <w:rsid w:val="005D743B"/>
    <w:rsid w:val="005E1105"/>
    <w:rsid w:val="005E4043"/>
    <w:rsid w:val="005F1168"/>
    <w:rsid w:val="005F19C3"/>
    <w:rsid w:val="005F2871"/>
    <w:rsid w:val="0060602B"/>
    <w:rsid w:val="006064D5"/>
    <w:rsid w:val="00610A93"/>
    <w:rsid w:val="00611129"/>
    <w:rsid w:val="00612848"/>
    <w:rsid w:val="006151F1"/>
    <w:rsid w:val="006217E1"/>
    <w:rsid w:val="00633386"/>
    <w:rsid w:val="006342DE"/>
    <w:rsid w:val="00636093"/>
    <w:rsid w:val="006361FE"/>
    <w:rsid w:val="00637DC9"/>
    <w:rsid w:val="006408E0"/>
    <w:rsid w:val="006441EF"/>
    <w:rsid w:val="00644F64"/>
    <w:rsid w:val="006464AB"/>
    <w:rsid w:val="00651968"/>
    <w:rsid w:val="00652146"/>
    <w:rsid w:val="00657772"/>
    <w:rsid w:val="00661C0F"/>
    <w:rsid w:val="006621A6"/>
    <w:rsid w:val="006648BE"/>
    <w:rsid w:val="00666A58"/>
    <w:rsid w:val="00666A6A"/>
    <w:rsid w:val="00667921"/>
    <w:rsid w:val="00672A1B"/>
    <w:rsid w:val="00676C70"/>
    <w:rsid w:val="00676D36"/>
    <w:rsid w:val="00683ABC"/>
    <w:rsid w:val="00684CB6"/>
    <w:rsid w:val="006958F7"/>
    <w:rsid w:val="006A0499"/>
    <w:rsid w:val="006A10D0"/>
    <w:rsid w:val="006A254D"/>
    <w:rsid w:val="006A4C33"/>
    <w:rsid w:val="006A52DE"/>
    <w:rsid w:val="006B138B"/>
    <w:rsid w:val="006B1B05"/>
    <w:rsid w:val="006B4291"/>
    <w:rsid w:val="006C0676"/>
    <w:rsid w:val="006C1847"/>
    <w:rsid w:val="006C2A30"/>
    <w:rsid w:val="006C5E88"/>
    <w:rsid w:val="006D0956"/>
    <w:rsid w:val="006D23AB"/>
    <w:rsid w:val="006D592D"/>
    <w:rsid w:val="006D7374"/>
    <w:rsid w:val="006E0321"/>
    <w:rsid w:val="006E2B86"/>
    <w:rsid w:val="006E2E9D"/>
    <w:rsid w:val="006E3C54"/>
    <w:rsid w:val="006E410A"/>
    <w:rsid w:val="006E636F"/>
    <w:rsid w:val="006E7F37"/>
    <w:rsid w:val="006F29F2"/>
    <w:rsid w:val="006F2A58"/>
    <w:rsid w:val="006F3C99"/>
    <w:rsid w:val="006F528C"/>
    <w:rsid w:val="006F5925"/>
    <w:rsid w:val="006F5AE8"/>
    <w:rsid w:val="006F6531"/>
    <w:rsid w:val="006F7B1A"/>
    <w:rsid w:val="0070273C"/>
    <w:rsid w:val="00706703"/>
    <w:rsid w:val="00707BC1"/>
    <w:rsid w:val="00711842"/>
    <w:rsid w:val="00712A5D"/>
    <w:rsid w:val="007145D1"/>
    <w:rsid w:val="00720B2D"/>
    <w:rsid w:val="00721F04"/>
    <w:rsid w:val="00722454"/>
    <w:rsid w:val="00722FDD"/>
    <w:rsid w:val="00725625"/>
    <w:rsid w:val="00727805"/>
    <w:rsid w:val="007303A5"/>
    <w:rsid w:val="00733ECE"/>
    <w:rsid w:val="00742094"/>
    <w:rsid w:val="00743295"/>
    <w:rsid w:val="00745EFA"/>
    <w:rsid w:val="00747A64"/>
    <w:rsid w:val="00750FCC"/>
    <w:rsid w:val="0075399B"/>
    <w:rsid w:val="00753AC9"/>
    <w:rsid w:val="00754C41"/>
    <w:rsid w:val="0075761F"/>
    <w:rsid w:val="00757AFB"/>
    <w:rsid w:val="007603A4"/>
    <w:rsid w:val="007609B7"/>
    <w:rsid w:val="00766CB3"/>
    <w:rsid w:val="007676DA"/>
    <w:rsid w:val="00767F4D"/>
    <w:rsid w:val="00775B81"/>
    <w:rsid w:val="00777CA6"/>
    <w:rsid w:val="0078386C"/>
    <w:rsid w:val="00783BF8"/>
    <w:rsid w:val="00785915"/>
    <w:rsid w:val="00787D65"/>
    <w:rsid w:val="00791EEE"/>
    <w:rsid w:val="007920D8"/>
    <w:rsid w:val="0079268D"/>
    <w:rsid w:val="00792960"/>
    <w:rsid w:val="007936EC"/>
    <w:rsid w:val="00797069"/>
    <w:rsid w:val="007A38A4"/>
    <w:rsid w:val="007B08DA"/>
    <w:rsid w:val="007B09AC"/>
    <w:rsid w:val="007B147D"/>
    <w:rsid w:val="007B4A5F"/>
    <w:rsid w:val="007B55DA"/>
    <w:rsid w:val="007B6F4B"/>
    <w:rsid w:val="007B7F48"/>
    <w:rsid w:val="007C085D"/>
    <w:rsid w:val="007C0D8C"/>
    <w:rsid w:val="007C36FA"/>
    <w:rsid w:val="007D0508"/>
    <w:rsid w:val="007D082D"/>
    <w:rsid w:val="007D6749"/>
    <w:rsid w:val="007D6DDD"/>
    <w:rsid w:val="007E05F8"/>
    <w:rsid w:val="007E3FA6"/>
    <w:rsid w:val="007E5F4B"/>
    <w:rsid w:val="007E68AE"/>
    <w:rsid w:val="007F39B0"/>
    <w:rsid w:val="007F3CB4"/>
    <w:rsid w:val="008002EB"/>
    <w:rsid w:val="0080032A"/>
    <w:rsid w:val="008027E2"/>
    <w:rsid w:val="00803235"/>
    <w:rsid w:val="008038C2"/>
    <w:rsid w:val="00804482"/>
    <w:rsid w:val="0080471B"/>
    <w:rsid w:val="0080665B"/>
    <w:rsid w:val="008069DA"/>
    <w:rsid w:val="00814763"/>
    <w:rsid w:val="00817072"/>
    <w:rsid w:val="00821F68"/>
    <w:rsid w:val="00822FBB"/>
    <w:rsid w:val="00827498"/>
    <w:rsid w:val="00827A06"/>
    <w:rsid w:val="00830BC0"/>
    <w:rsid w:val="008333FF"/>
    <w:rsid w:val="00837446"/>
    <w:rsid w:val="00842402"/>
    <w:rsid w:val="00845E25"/>
    <w:rsid w:val="008471F6"/>
    <w:rsid w:val="00847F7E"/>
    <w:rsid w:val="0085042A"/>
    <w:rsid w:val="00851B56"/>
    <w:rsid w:val="0085229F"/>
    <w:rsid w:val="00852FF3"/>
    <w:rsid w:val="00854A42"/>
    <w:rsid w:val="00855C38"/>
    <w:rsid w:val="008561B9"/>
    <w:rsid w:val="00856EE3"/>
    <w:rsid w:val="0085737A"/>
    <w:rsid w:val="0086299B"/>
    <w:rsid w:val="00862F0C"/>
    <w:rsid w:val="0086428B"/>
    <w:rsid w:val="008652BF"/>
    <w:rsid w:val="008706BD"/>
    <w:rsid w:val="00871C92"/>
    <w:rsid w:val="008721BC"/>
    <w:rsid w:val="008738C1"/>
    <w:rsid w:val="00876AD5"/>
    <w:rsid w:val="00876D76"/>
    <w:rsid w:val="00882B78"/>
    <w:rsid w:val="00884BAF"/>
    <w:rsid w:val="00884F2E"/>
    <w:rsid w:val="00893F87"/>
    <w:rsid w:val="008A0467"/>
    <w:rsid w:val="008A1B12"/>
    <w:rsid w:val="008A1C34"/>
    <w:rsid w:val="008A2914"/>
    <w:rsid w:val="008A6317"/>
    <w:rsid w:val="008B2BBE"/>
    <w:rsid w:val="008B40DF"/>
    <w:rsid w:val="008B5779"/>
    <w:rsid w:val="008B5C6B"/>
    <w:rsid w:val="008B627D"/>
    <w:rsid w:val="008C03EA"/>
    <w:rsid w:val="008C1B8A"/>
    <w:rsid w:val="008C2EB7"/>
    <w:rsid w:val="008C4CA5"/>
    <w:rsid w:val="008C503E"/>
    <w:rsid w:val="008C5CE6"/>
    <w:rsid w:val="008C7374"/>
    <w:rsid w:val="008D070E"/>
    <w:rsid w:val="008D49FA"/>
    <w:rsid w:val="008D7DBD"/>
    <w:rsid w:val="008E3866"/>
    <w:rsid w:val="008E4A9F"/>
    <w:rsid w:val="008F2337"/>
    <w:rsid w:val="008F2917"/>
    <w:rsid w:val="008F341F"/>
    <w:rsid w:val="008F3C34"/>
    <w:rsid w:val="008F5727"/>
    <w:rsid w:val="008F5AFE"/>
    <w:rsid w:val="008F7FE3"/>
    <w:rsid w:val="0090044C"/>
    <w:rsid w:val="00902B8C"/>
    <w:rsid w:val="00902E53"/>
    <w:rsid w:val="009040D4"/>
    <w:rsid w:val="00905378"/>
    <w:rsid w:val="00906AF8"/>
    <w:rsid w:val="009106FE"/>
    <w:rsid w:val="00914AEC"/>
    <w:rsid w:val="00915713"/>
    <w:rsid w:val="00920700"/>
    <w:rsid w:val="00920B04"/>
    <w:rsid w:val="00922D33"/>
    <w:rsid w:val="00924964"/>
    <w:rsid w:val="0092709A"/>
    <w:rsid w:val="0093211E"/>
    <w:rsid w:val="00932260"/>
    <w:rsid w:val="00932F62"/>
    <w:rsid w:val="00933BB0"/>
    <w:rsid w:val="009354F6"/>
    <w:rsid w:val="00942211"/>
    <w:rsid w:val="009452A4"/>
    <w:rsid w:val="009500E8"/>
    <w:rsid w:val="009505BD"/>
    <w:rsid w:val="009514E2"/>
    <w:rsid w:val="00952DF8"/>
    <w:rsid w:val="0095738C"/>
    <w:rsid w:val="009578A6"/>
    <w:rsid w:val="0096301C"/>
    <w:rsid w:val="00964E4C"/>
    <w:rsid w:val="00981DE5"/>
    <w:rsid w:val="00990EA4"/>
    <w:rsid w:val="009A06D0"/>
    <w:rsid w:val="009A17F1"/>
    <w:rsid w:val="009A1F76"/>
    <w:rsid w:val="009A3197"/>
    <w:rsid w:val="009A43B7"/>
    <w:rsid w:val="009A5D34"/>
    <w:rsid w:val="009A6188"/>
    <w:rsid w:val="009A621E"/>
    <w:rsid w:val="009A762E"/>
    <w:rsid w:val="009B2F86"/>
    <w:rsid w:val="009B3135"/>
    <w:rsid w:val="009B506D"/>
    <w:rsid w:val="009C1BED"/>
    <w:rsid w:val="009C74E3"/>
    <w:rsid w:val="009C76FE"/>
    <w:rsid w:val="009D472D"/>
    <w:rsid w:val="009D53A5"/>
    <w:rsid w:val="009E0AD5"/>
    <w:rsid w:val="009E1030"/>
    <w:rsid w:val="009E1F17"/>
    <w:rsid w:val="009E24DC"/>
    <w:rsid w:val="009E3A26"/>
    <w:rsid w:val="009E3A66"/>
    <w:rsid w:val="009E4D06"/>
    <w:rsid w:val="009E7733"/>
    <w:rsid w:val="009E7D8F"/>
    <w:rsid w:val="009F0091"/>
    <w:rsid w:val="009F090E"/>
    <w:rsid w:val="009F0BBD"/>
    <w:rsid w:val="009F6318"/>
    <w:rsid w:val="00A010F9"/>
    <w:rsid w:val="00A01152"/>
    <w:rsid w:val="00A0223D"/>
    <w:rsid w:val="00A041E3"/>
    <w:rsid w:val="00A137B9"/>
    <w:rsid w:val="00A15389"/>
    <w:rsid w:val="00A168B5"/>
    <w:rsid w:val="00A17357"/>
    <w:rsid w:val="00A20E69"/>
    <w:rsid w:val="00A254A2"/>
    <w:rsid w:val="00A44171"/>
    <w:rsid w:val="00A46861"/>
    <w:rsid w:val="00A47D69"/>
    <w:rsid w:val="00A51333"/>
    <w:rsid w:val="00A5298E"/>
    <w:rsid w:val="00A52AFE"/>
    <w:rsid w:val="00A53005"/>
    <w:rsid w:val="00A5432C"/>
    <w:rsid w:val="00A574C8"/>
    <w:rsid w:val="00A57573"/>
    <w:rsid w:val="00A602D4"/>
    <w:rsid w:val="00A6572C"/>
    <w:rsid w:val="00A71797"/>
    <w:rsid w:val="00A73976"/>
    <w:rsid w:val="00A73E7C"/>
    <w:rsid w:val="00A75775"/>
    <w:rsid w:val="00A76F9A"/>
    <w:rsid w:val="00A7704A"/>
    <w:rsid w:val="00A7744B"/>
    <w:rsid w:val="00A81FC3"/>
    <w:rsid w:val="00A8285E"/>
    <w:rsid w:val="00A831B8"/>
    <w:rsid w:val="00A83DA3"/>
    <w:rsid w:val="00A84C01"/>
    <w:rsid w:val="00A85D09"/>
    <w:rsid w:val="00A95FFD"/>
    <w:rsid w:val="00A96B37"/>
    <w:rsid w:val="00AA1ED3"/>
    <w:rsid w:val="00AA4770"/>
    <w:rsid w:val="00AA53AD"/>
    <w:rsid w:val="00AA579D"/>
    <w:rsid w:val="00AA63A5"/>
    <w:rsid w:val="00AB16D7"/>
    <w:rsid w:val="00AB6BAC"/>
    <w:rsid w:val="00AB6BF6"/>
    <w:rsid w:val="00AC056C"/>
    <w:rsid w:val="00AC0789"/>
    <w:rsid w:val="00AC2CBD"/>
    <w:rsid w:val="00AC590A"/>
    <w:rsid w:val="00AC5B86"/>
    <w:rsid w:val="00AC6192"/>
    <w:rsid w:val="00AD369C"/>
    <w:rsid w:val="00AD7E97"/>
    <w:rsid w:val="00AE15E0"/>
    <w:rsid w:val="00AE2189"/>
    <w:rsid w:val="00AE3B0F"/>
    <w:rsid w:val="00AE4CCD"/>
    <w:rsid w:val="00AF0063"/>
    <w:rsid w:val="00AF3524"/>
    <w:rsid w:val="00AF56F6"/>
    <w:rsid w:val="00AF7370"/>
    <w:rsid w:val="00AF75E4"/>
    <w:rsid w:val="00B039C2"/>
    <w:rsid w:val="00B045E9"/>
    <w:rsid w:val="00B05340"/>
    <w:rsid w:val="00B12D7B"/>
    <w:rsid w:val="00B32EAC"/>
    <w:rsid w:val="00B34560"/>
    <w:rsid w:val="00B34721"/>
    <w:rsid w:val="00B358E7"/>
    <w:rsid w:val="00B36B0A"/>
    <w:rsid w:val="00B408FF"/>
    <w:rsid w:val="00B43CBF"/>
    <w:rsid w:val="00B44C06"/>
    <w:rsid w:val="00B47617"/>
    <w:rsid w:val="00B52ED3"/>
    <w:rsid w:val="00B534C6"/>
    <w:rsid w:val="00B54335"/>
    <w:rsid w:val="00B552B1"/>
    <w:rsid w:val="00B5703E"/>
    <w:rsid w:val="00B6124F"/>
    <w:rsid w:val="00B63C6E"/>
    <w:rsid w:val="00B643B6"/>
    <w:rsid w:val="00B648E3"/>
    <w:rsid w:val="00B65161"/>
    <w:rsid w:val="00B65B5D"/>
    <w:rsid w:val="00B660DE"/>
    <w:rsid w:val="00B71D89"/>
    <w:rsid w:val="00B73A00"/>
    <w:rsid w:val="00B75A7F"/>
    <w:rsid w:val="00B760BC"/>
    <w:rsid w:val="00B802B3"/>
    <w:rsid w:val="00B84D18"/>
    <w:rsid w:val="00B8549C"/>
    <w:rsid w:val="00B902D7"/>
    <w:rsid w:val="00B96BA0"/>
    <w:rsid w:val="00BA0CFF"/>
    <w:rsid w:val="00BA0D11"/>
    <w:rsid w:val="00BA2CD3"/>
    <w:rsid w:val="00BA3950"/>
    <w:rsid w:val="00BA6DDB"/>
    <w:rsid w:val="00BB1951"/>
    <w:rsid w:val="00BB205A"/>
    <w:rsid w:val="00BB3229"/>
    <w:rsid w:val="00BB7C36"/>
    <w:rsid w:val="00BC1EED"/>
    <w:rsid w:val="00BC33FA"/>
    <w:rsid w:val="00BC4A5D"/>
    <w:rsid w:val="00BC719A"/>
    <w:rsid w:val="00BC7453"/>
    <w:rsid w:val="00BD12E6"/>
    <w:rsid w:val="00BD31EE"/>
    <w:rsid w:val="00BD7454"/>
    <w:rsid w:val="00BD7E12"/>
    <w:rsid w:val="00BE1A85"/>
    <w:rsid w:val="00BE1F98"/>
    <w:rsid w:val="00BE20D9"/>
    <w:rsid w:val="00BE210C"/>
    <w:rsid w:val="00BE24E4"/>
    <w:rsid w:val="00BE3DC5"/>
    <w:rsid w:val="00BF365C"/>
    <w:rsid w:val="00C02512"/>
    <w:rsid w:val="00C10100"/>
    <w:rsid w:val="00C1057B"/>
    <w:rsid w:val="00C11107"/>
    <w:rsid w:val="00C155EA"/>
    <w:rsid w:val="00C24656"/>
    <w:rsid w:val="00C24F20"/>
    <w:rsid w:val="00C264B8"/>
    <w:rsid w:val="00C319C2"/>
    <w:rsid w:val="00C31C04"/>
    <w:rsid w:val="00C32C4D"/>
    <w:rsid w:val="00C33EF9"/>
    <w:rsid w:val="00C408D4"/>
    <w:rsid w:val="00C412A2"/>
    <w:rsid w:val="00C44057"/>
    <w:rsid w:val="00C449DF"/>
    <w:rsid w:val="00C478B6"/>
    <w:rsid w:val="00C51401"/>
    <w:rsid w:val="00C53562"/>
    <w:rsid w:val="00C535BD"/>
    <w:rsid w:val="00C53B50"/>
    <w:rsid w:val="00C62F24"/>
    <w:rsid w:val="00C63E34"/>
    <w:rsid w:val="00C64AC2"/>
    <w:rsid w:val="00C67754"/>
    <w:rsid w:val="00C7056A"/>
    <w:rsid w:val="00C70733"/>
    <w:rsid w:val="00C71D7A"/>
    <w:rsid w:val="00C74951"/>
    <w:rsid w:val="00C753B3"/>
    <w:rsid w:val="00C82635"/>
    <w:rsid w:val="00C82F1D"/>
    <w:rsid w:val="00C87EAB"/>
    <w:rsid w:val="00C91B0B"/>
    <w:rsid w:val="00C926B4"/>
    <w:rsid w:val="00C9439D"/>
    <w:rsid w:val="00C951B8"/>
    <w:rsid w:val="00C95E2E"/>
    <w:rsid w:val="00C9642B"/>
    <w:rsid w:val="00C97F3D"/>
    <w:rsid w:val="00CA098B"/>
    <w:rsid w:val="00CA0D83"/>
    <w:rsid w:val="00CA2104"/>
    <w:rsid w:val="00CA6785"/>
    <w:rsid w:val="00CA797F"/>
    <w:rsid w:val="00CA7EA4"/>
    <w:rsid w:val="00CB1437"/>
    <w:rsid w:val="00CB3969"/>
    <w:rsid w:val="00CB450B"/>
    <w:rsid w:val="00CB46FD"/>
    <w:rsid w:val="00CC0C97"/>
    <w:rsid w:val="00CC7042"/>
    <w:rsid w:val="00CD0D52"/>
    <w:rsid w:val="00CD5C99"/>
    <w:rsid w:val="00CD5F12"/>
    <w:rsid w:val="00CD658F"/>
    <w:rsid w:val="00CD6BD6"/>
    <w:rsid w:val="00CE19C1"/>
    <w:rsid w:val="00CE1AF7"/>
    <w:rsid w:val="00CE33A4"/>
    <w:rsid w:val="00CE3446"/>
    <w:rsid w:val="00CE6CE3"/>
    <w:rsid w:val="00CF098E"/>
    <w:rsid w:val="00CF2F19"/>
    <w:rsid w:val="00CF48E4"/>
    <w:rsid w:val="00CF7839"/>
    <w:rsid w:val="00D00041"/>
    <w:rsid w:val="00D00B81"/>
    <w:rsid w:val="00D02A6C"/>
    <w:rsid w:val="00D04B22"/>
    <w:rsid w:val="00D04CED"/>
    <w:rsid w:val="00D07C67"/>
    <w:rsid w:val="00D106F8"/>
    <w:rsid w:val="00D10830"/>
    <w:rsid w:val="00D11957"/>
    <w:rsid w:val="00D1317A"/>
    <w:rsid w:val="00D137A0"/>
    <w:rsid w:val="00D15800"/>
    <w:rsid w:val="00D17EFB"/>
    <w:rsid w:val="00D200B4"/>
    <w:rsid w:val="00D246CA"/>
    <w:rsid w:val="00D26B2D"/>
    <w:rsid w:val="00D2706E"/>
    <w:rsid w:val="00D27DAD"/>
    <w:rsid w:val="00D31592"/>
    <w:rsid w:val="00D31B3C"/>
    <w:rsid w:val="00D33C73"/>
    <w:rsid w:val="00D3520B"/>
    <w:rsid w:val="00D4138B"/>
    <w:rsid w:val="00D42960"/>
    <w:rsid w:val="00D517C5"/>
    <w:rsid w:val="00D52D29"/>
    <w:rsid w:val="00D6343C"/>
    <w:rsid w:val="00D6598C"/>
    <w:rsid w:val="00D750FC"/>
    <w:rsid w:val="00D76970"/>
    <w:rsid w:val="00D76B19"/>
    <w:rsid w:val="00D76C90"/>
    <w:rsid w:val="00D83661"/>
    <w:rsid w:val="00D83A34"/>
    <w:rsid w:val="00D840E5"/>
    <w:rsid w:val="00D846E2"/>
    <w:rsid w:val="00D85249"/>
    <w:rsid w:val="00D8668C"/>
    <w:rsid w:val="00D912B1"/>
    <w:rsid w:val="00D918A4"/>
    <w:rsid w:val="00D977A0"/>
    <w:rsid w:val="00D97A63"/>
    <w:rsid w:val="00DA02E2"/>
    <w:rsid w:val="00DA27CF"/>
    <w:rsid w:val="00DA61FC"/>
    <w:rsid w:val="00DA7661"/>
    <w:rsid w:val="00DB157C"/>
    <w:rsid w:val="00DB5B6A"/>
    <w:rsid w:val="00DB5E07"/>
    <w:rsid w:val="00DB6C7E"/>
    <w:rsid w:val="00DC1BF7"/>
    <w:rsid w:val="00DC42D2"/>
    <w:rsid w:val="00DC4FC4"/>
    <w:rsid w:val="00DD6C7F"/>
    <w:rsid w:val="00DE2685"/>
    <w:rsid w:val="00DE3FBE"/>
    <w:rsid w:val="00DE4724"/>
    <w:rsid w:val="00DE7886"/>
    <w:rsid w:val="00DF0BF7"/>
    <w:rsid w:val="00DF3720"/>
    <w:rsid w:val="00DF391D"/>
    <w:rsid w:val="00DF48CC"/>
    <w:rsid w:val="00E00B4A"/>
    <w:rsid w:val="00E01073"/>
    <w:rsid w:val="00E070A7"/>
    <w:rsid w:val="00E123BD"/>
    <w:rsid w:val="00E12C68"/>
    <w:rsid w:val="00E13451"/>
    <w:rsid w:val="00E222DE"/>
    <w:rsid w:val="00E22B79"/>
    <w:rsid w:val="00E25D09"/>
    <w:rsid w:val="00E306FB"/>
    <w:rsid w:val="00E32E56"/>
    <w:rsid w:val="00E33A16"/>
    <w:rsid w:val="00E3699B"/>
    <w:rsid w:val="00E375F9"/>
    <w:rsid w:val="00E40B8F"/>
    <w:rsid w:val="00E41847"/>
    <w:rsid w:val="00E45482"/>
    <w:rsid w:val="00E47106"/>
    <w:rsid w:val="00E4741D"/>
    <w:rsid w:val="00E51DD7"/>
    <w:rsid w:val="00E535C4"/>
    <w:rsid w:val="00E55DE5"/>
    <w:rsid w:val="00E56080"/>
    <w:rsid w:val="00E561E1"/>
    <w:rsid w:val="00E62D44"/>
    <w:rsid w:val="00E67992"/>
    <w:rsid w:val="00E67B3E"/>
    <w:rsid w:val="00E7103E"/>
    <w:rsid w:val="00E71E06"/>
    <w:rsid w:val="00E72738"/>
    <w:rsid w:val="00E7357F"/>
    <w:rsid w:val="00E73E46"/>
    <w:rsid w:val="00E74286"/>
    <w:rsid w:val="00E746B4"/>
    <w:rsid w:val="00E752F2"/>
    <w:rsid w:val="00E8240B"/>
    <w:rsid w:val="00E828A2"/>
    <w:rsid w:val="00E82E40"/>
    <w:rsid w:val="00E83043"/>
    <w:rsid w:val="00E8571B"/>
    <w:rsid w:val="00E85B03"/>
    <w:rsid w:val="00E86393"/>
    <w:rsid w:val="00E86CE5"/>
    <w:rsid w:val="00E877CE"/>
    <w:rsid w:val="00E94107"/>
    <w:rsid w:val="00E962EB"/>
    <w:rsid w:val="00EA1E8E"/>
    <w:rsid w:val="00EA25D4"/>
    <w:rsid w:val="00EA36BD"/>
    <w:rsid w:val="00EA4C0D"/>
    <w:rsid w:val="00EB28D5"/>
    <w:rsid w:val="00EB530D"/>
    <w:rsid w:val="00EC0280"/>
    <w:rsid w:val="00EC2F46"/>
    <w:rsid w:val="00EC32DD"/>
    <w:rsid w:val="00EC691A"/>
    <w:rsid w:val="00EC7A2C"/>
    <w:rsid w:val="00ED22DB"/>
    <w:rsid w:val="00ED3878"/>
    <w:rsid w:val="00ED40A2"/>
    <w:rsid w:val="00ED4694"/>
    <w:rsid w:val="00ED4A10"/>
    <w:rsid w:val="00ED4F6C"/>
    <w:rsid w:val="00ED6D98"/>
    <w:rsid w:val="00ED7187"/>
    <w:rsid w:val="00ED730C"/>
    <w:rsid w:val="00EE1269"/>
    <w:rsid w:val="00EE48DB"/>
    <w:rsid w:val="00EE49B5"/>
    <w:rsid w:val="00EE4E94"/>
    <w:rsid w:val="00EF12E0"/>
    <w:rsid w:val="00EF2F76"/>
    <w:rsid w:val="00EF3B58"/>
    <w:rsid w:val="00EF4495"/>
    <w:rsid w:val="00EF6433"/>
    <w:rsid w:val="00EF7A6A"/>
    <w:rsid w:val="00F01791"/>
    <w:rsid w:val="00F13088"/>
    <w:rsid w:val="00F20556"/>
    <w:rsid w:val="00F26B81"/>
    <w:rsid w:val="00F3183A"/>
    <w:rsid w:val="00F32F3C"/>
    <w:rsid w:val="00F339B8"/>
    <w:rsid w:val="00F35412"/>
    <w:rsid w:val="00F41366"/>
    <w:rsid w:val="00F41EFF"/>
    <w:rsid w:val="00F46368"/>
    <w:rsid w:val="00F53BCB"/>
    <w:rsid w:val="00F55890"/>
    <w:rsid w:val="00F5623F"/>
    <w:rsid w:val="00F5632B"/>
    <w:rsid w:val="00F575B9"/>
    <w:rsid w:val="00F57E1A"/>
    <w:rsid w:val="00F62896"/>
    <w:rsid w:val="00F707D1"/>
    <w:rsid w:val="00F70B8C"/>
    <w:rsid w:val="00F71320"/>
    <w:rsid w:val="00F72079"/>
    <w:rsid w:val="00F725FB"/>
    <w:rsid w:val="00F7291D"/>
    <w:rsid w:val="00F73FF3"/>
    <w:rsid w:val="00F7728F"/>
    <w:rsid w:val="00F80487"/>
    <w:rsid w:val="00F81549"/>
    <w:rsid w:val="00F818D1"/>
    <w:rsid w:val="00F83AD5"/>
    <w:rsid w:val="00F8410D"/>
    <w:rsid w:val="00F84169"/>
    <w:rsid w:val="00F8681C"/>
    <w:rsid w:val="00F87909"/>
    <w:rsid w:val="00F96ED7"/>
    <w:rsid w:val="00FA1D11"/>
    <w:rsid w:val="00FA25FC"/>
    <w:rsid w:val="00FA36EA"/>
    <w:rsid w:val="00FA37AC"/>
    <w:rsid w:val="00FA3DBA"/>
    <w:rsid w:val="00FA3EEF"/>
    <w:rsid w:val="00FA6011"/>
    <w:rsid w:val="00FA76E5"/>
    <w:rsid w:val="00FB2C24"/>
    <w:rsid w:val="00FB34CD"/>
    <w:rsid w:val="00FB3512"/>
    <w:rsid w:val="00FB384F"/>
    <w:rsid w:val="00FB3D32"/>
    <w:rsid w:val="00FB60FF"/>
    <w:rsid w:val="00FB629C"/>
    <w:rsid w:val="00FB7270"/>
    <w:rsid w:val="00FC07C0"/>
    <w:rsid w:val="00FC0812"/>
    <w:rsid w:val="00FC1271"/>
    <w:rsid w:val="00FC1697"/>
    <w:rsid w:val="00FC1713"/>
    <w:rsid w:val="00FC7BF6"/>
    <w:rsid w:val="00FD00AF"/>
    <w:rsid w:val="00FD022D"/>
    <w:rsid w:val="00FD0FFF"/>
    <w:rsid w:val="00FD17B1"/>
    <w:rsid w:val="00FD4229"/>
    <w:rsid w:val="00FD6EF3"/>
    <w:rsid w:val="00FD73E1"/>
    <w:rsid w:val="00FE0104"/>
    <w:rsid w:val="00FE2758"/>
    <w:rsid w:val="00FE3195"/>
    <w:rsid w:val="00FE4160"/>
    <w:rsid w:val="00FE4A0C"/>
    <w:rsid w:val="00FE6FDE"/>
    <w:rsid w:val="00FF2072"/>
    <w:rsid w:val="00FF4280"/>
    <w:rsid w:val="00FF47A2"/>
    <w:rsid w:val="00FF5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98"/>
    <w:pPr>
      <w:jc w:val="both"/>
    </w:pPr>
    <w:rPr>
      <w:rFonts w:ascii="Calibri" w:hAnsi="Calibri"/>
      <w:sz w:val="22"/>
      <w:szCs w:val="24"/>
      <w:lang w:eastAsia="en-US"/>
    </w:rPr>
  </w:style>
  <w:style w:type="paragraph" w:styleId="Ttulo1">
    <w:name w:val="heading 1"/>
    <w:aliases w:val="teste"/>
    <w:basedOn w:val="Normal"/>
    <w:next w:val="Normal"/>
    <w:link w:val="Ttulo1Char"/>
    <w:autoRedefine/>
    <w:uiPriority w:val="99"/>
    <w:qFormat/>
    <w:rsid w:val="00360C46"/>
    <w:pPr>
      <w:keepNext/>
      <w:keepLines/>
      <w:ind w:left="2124"/>
      <w:outlineLvl w:val="0"/>
    </w:pPr>
    <w:rPr>
      <w:sz w:val="32"/>
      <w:szCs w:val="32"/>
      <w:lang w:val="x-none"/>
    </w:rPr>
  </w:style>
  <w:style w:type="paragraph" w:styleId="Ttulo2">
    <w:name w:val="heading 2"/>
    <w:aliases w:val="Subseção"/>
    <w:basedOn w:val="Normal"/>
    <w:next w:val="Normal"/>
    <w:link w:val="Ttulo2Char"/>
    <w:autoRedefine/>
    <w:uiPriority w:val="99"/>
    <w:qFormat/>
    <w:rsid w:val="00360C46"/>
    <w:pPr>
      <w:keepNext/>
      <w:outlineLvl w:val="1"/>
    </w:pPr>
    <w:rPr>
      <w:b/>
      <w:bCs/>
      <w:sz w:val="26"/>
      <w:szCs w:val="26"/>
      <w:lang w:val="x-none"/>
    </w:rPr>
  </w:style>
  <w:style w:type="paragraph" w:styleId="Ttulo3">
    <w:name w:val="heading 3"/>
    <w:aliases w:val="3,Artigo"/>
    <w:basedOn w:val="Normal"/>
    <w:next w:val="Normal"/>
    <w:link w:val="Ttulo3Char"/>
    <w:uiPriority w:val="99"/>
    <w:qFormat/>
    <w:rsid w:val="00360C46"/>
    <w:pPr>
      <w:keepNext/>
      <w:keepLines/>
      <w:tabs>
        <w:tab w:val="left" w:pos="284"/>
        <w:tab w:val="left" w:pos="567"/>
        <w:tab w:val="left" w:pos="851"/>
        <w:tab w:val="left" w:pos="1134"/>
        <w:tab w:val="left" w:pos="1418"/>
        <w:tab w:val="left" w:pos="1701"/>
        <w:tab w:val="left" w:pos="1985"/>
      </w:tabs>
      <w:spacing w:before="240" w:after="120" w:line="276" w:lineRule="auto"/>
      <w:ind w:left="568"/>
      <w:outlineLvl w:val="2"/>
    </w:pPr>
    <w:rPr>
      <w:rFonts w:ascii="Cambria" w:hAnsi="Cambria"/>
      <w:b/>
      <w:bCs/>
      <w:color w:val="4F81BD"/>
      <w:sz w:val="20"/>
      <w:szCs w:val="20"/>
      <w:lang w:val="en-US" w:eastAsia="x-none"/>
    </w:rPr>
  </w:style>
  <w:style w:type="paragraph" w:styleId="Ttulo4">
    <w:name w:val="heading 4"/>
    <w:aliases w:val="4,Parágrafo"/>
    <w:basedOn w:val="Normal"/>
    <w:link w:val="Ttulo4Char"/>
    <w:uiPriority w:val="99"/>
    <w:qFormat/>
    <w:rsid w:val="00360C46"/>
    <w:pPr>
      <w:keepLines/>
      <w:tabs>
        <w:tab w:val="left" w:pos="284"/>
        <w:tab w:val="left" w:pos="567"/>
        <w:tab w:val="left" w:pos="851"/>
        <w:tab w:val="left" w:pos="1134"/>
        <w:tab w:val="left" w:pos="1418"/>
        <w:tab w:val="left" w:pos="1701"/>
        <w:tab w:val="left" w:pos="1985"/>
      </w:tabs>
      <w:spacing w:before="240" w:after="120" w:line="312" w:lineRule="auto"/>
      <w:ind w:left="852"/>
      <w:outlineLvl w:val="3"/>
    </w:pPr>
    <w:rPr>
      <w:rFonts w:ascii="Cambria" w:hAnsi="Cambria"/>
      <w:bCs/>
      <w:iCs/>
      <w:sz w:val="20"/>
      <w:szCs w:val="20"/>
      <w:lang w:val="en-US" w:eastAsia="x-none"/>
    </w:rPr>
  </w:style>
  <w:style w:type="paragraph" w:styleId="Ttulo5">
    <w:name w:val="heading 5"/>
    <w:aliases w:val="5"/>
    <w:basedOn w:val="Ttulo4"/>
    <w:link w:val="Ttulo5Char"/>
    <w:uiPriority w:val="99"/>
    <w:qFormat/>
    <w:rsid w:val="00360C46"/>
    <w:pPr>
      <w:ind w:left="770" w:right="567"/>
      <w:contextualSpacing/>
      <w:outlineLvl w:val="4"/>
    </w:pPr>
  </w:style>
  <w:style w:type="paragraph" w:styleId="Ttulo6">
    <w:name w:val="heading 6"/>
    <w:aliases w:val="6"/>
    <w:basedOn w:val="Ttulo5"/>
    <w:link w:val="Ttulo6Char"/>
    <w:uiPriority w:val="99"/>
    <w:qFormat/>
    <w:rsid w:val="00360C46"/>
    <w:pPr>
      <w:ind w:left="1420" w:right="851"/>
      <w:outlineLvl w:val="5"/>
    </w:pPr>
    <w:rPr>
      <w:i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este Char"/>
    <w:link w:val="Ttulo1"/>
    <w:uiPriority w:val="99"/>
    <w:locked/>
    <w:rsid w:val="00360C46"/>
    <w:rPr>
      <w:rFonts w:ascii="Calibri" w:hAnsi="Calibri" w:cs="Times New Roman"/>
      <w:sz w:val="32"/>
      <w:szCs w:val="32"/>
      <w:lang w:val="x-none" w:eastAsia="en-US"/>
    </w:rPr>
  </w:style>
  <w:style w:type="character" w:customStyle="1" w:styleId="Ttulo2Char">
    <w:name w:val="Título 2 Char"/>
    <w:aliases w:val="Subseção Char"/>
    <w:link w:val="Ttulo2"/>
    <w:uiPriority w:val="99"/>
    <w:locked/>
    <w:rsid w:val="00360C46"/>
    <w:rPr>
      <w:rFonts w:ascii="Calibri" w:hAnsi="Calibri" w:cs="Calibri"/>
      <w:b/>
      <w:bCs/>
      <w:sz w:val="26"/>
      <w:szCs w:val="26"/>
      <w:lang w:val="x-none" w:eastAsia="en-US"/>
    </w:rPr>
  </w:style>
  <w:style w:type="character" w:customStyle="1" w:styleId="Ttulo3Char">
    <w:name w:val="Título 3 Char"/>
    <w:aliases w:val="3 Char,Artigo Char"/>
    <w:link w:val="Ttulo3"/>
    <w:uiPriority w:val="99"/>
    <w:locked/>
    <w:rsid w:val="00360C46"/>
    <w:rPr>
      <w:rFonts w:ascii="Cambria" w:hAnsi="Cambria" w:cs="Times New Roman"/>
      <w:b/>
      <w:bCs/>
      <w:color w:val="4F81BD"/>
      <w:lang w:val="en-US" w:eastAsia="x-none"/>
    </w:rPr>
  </w:style>
  <w:style w:type="character" w:customStyle="1" w:styleId="Ttulo4Char">
    <w:name w:val="Título 4 Char"/>
    <w:aliases w:val="4 Char,Parágrafo Char"/>
    <w:link w:val="Ttulo4"/>
    <w:uiPriority w:val="99"/>
    <w:locked/>
    <w:rsid w:val="00360C46"/>
    <w:rPr>
      <w:rFonts w:ascii="Cambria" w:hAnsi="Cambria" w:cs="Times New Roman"/>
      <w:bCs/>
      <w:iCs/>
      <w:lang w:val="en-US" w:eastAsia="x-none"/>
    </w:rPr>
  </w:style>
  <w:style w:type="character" w:customStyle="1" w:styleId="Ttulo5Char">
    <w:name w:val="Título 5 Char"/>
    <w:aliases w:val="5 Char"/>
    <w:link w:val="Ttulo5"/>
    <w:uiPriority w:val="99"/>
    <w:locked/>
    <w:rsid w:val="00360C46"/>
    <w:rPr>
      <w:rFonts w:ascii="Cambria" w:hAnsi="Cambria" w:cs="Times New Roman"/>
      <w:bCs/>
      <w:iCs/>
      <w:lang w:val="en-US" w:eastAsia="x-none"/>
    </w:rPr>
  </w:style>
  <w:style w:type="character" w:customStyle="1" w:styleId="Ttulo6Char">
    <w:name w:val="Título 6 Char"/>
    <w:aliases w:val="6 Char"/>
    <w:link w:val="Ttulo6"/>
    <w:uiPriority w:val="99"/>
    <w:locked/>
    <w:rsid w:val="00360C46"/>
    <w:rPr>
      <w:rFonts w:ascii="Cambria" w:hAnsi="Cambria" w:cs="Times New Roman"/>
      <w:bCs/>
      <w:lang w:val="en-US" w:eastAsia="x-none"/>
    </w:rPr>
  </w:style>
  <w:style w:type="table" w:styleId="Tabelacomgrade">
    <w:name w:val="Table Grid"/>
    <w:basedOn w:val="Tabelanormal"/>
    <w:uiPriority w:val="99"/>
    <w:rsid w:val="00360C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60C46"/>
    <w:rPr>
      <w:rFonts w:cs="Times New Roman"/>
      <w:color w:val="0000FF"/>
      <w:u w:val="single"/>
    </w:rPr>
  </w:style>
  <w:style w:type="paragraph" w:customStyle="1" w:styleId="CabealhodoSumrio1">
    <w:name w:val="Cabeçalho do Sumário1"/>
    <w:basedOn w:val="Ttulo1"/>
    <w:next w:val="Normal"/>
    <w:uiPriority w:val="99"/>
    <w:qFormat/>
    <w:rsid w:val="00360C46"/>
    <w:pPr>
      <w:numPr>
        <w:numId w:val="1"/>
      </w:numPr>
      <w:tabs>
        <w:tab w:val="left" w:pos="284"/>
        <w:tab w:val="left" w:pos="567"/>
        <w:tab w:val="left" w:pos="851"/>
        <w:tab w:val="left" w:pos="1134"/>
        <w:tab w:val="left" w:pos="1418"/>
        <w:tab w:val="left" w:pos="1701"/>
        <w:tab w:val="left" w:pos="1985"/>
      </w:tabs>
      <w:spacing w:before="480" w:after="120" w:line="276" w:lineRule="auto"/>
      <w:outlineLvl w:val="9"/>
    </w:pPr>
    <w:rPr>
      <w:rFonts w:ascii="Cambria" w:hAnsi="Cambria"/>
      <w:b/>
      <w:bCs/>
      <w:color w:val="002060"/>
      <w:sz w:val="36"/>
      <w:szCs w:val="28"/>
      <w:lang w:val="en-US"/>
    </w:rPr>
  </w:style>
  <w:style w:type="paragraph" w:styleId="Sumrio1">
    <w:name w:val="toc 1"/>
    <w:basedOn w:val="Normal"/>
    <w:next w:val="Normal"/>
    <w:autoRedefine/>
    <w:uiPriority w:val="39"/>
    <w:rsid w:val="00231F6C"/>
    <w:pPr>
      <w:tabs>
        <w:tab w:val="right" w:pos="8949"/>
      </w:tabs>
      <w:spacing w:before="120" w:after="120"/>
      <w:jc w:val="left"/>
    </w:pPr>
    <w:rPr>
      <w:rFonts w:cs="Calibri"/>
      <w:b/>
      <w:bCs/>
      <w:caps/>
      <w:sz w:val="24"/>
    </w:rPr>
  </w:style>
  <w:style w:type="paragraph" w:styleId="Sumrio3">
    <w:name w:val="toc 3"/>
    <w:basedOn w:val="Normal"/>
    <w:next w:val="Normal"/>
    <w:autoRedefine/>
    <w:uiPriority w:val="39"/>
    <w:rsid w:val="00360C46"/>
    <w:pPr>
      <w:ind w:left="440"/>
      <w:jc w:val="left"/>
    </w:pPr>
    <w:rPr>
      <w:rFonts w:ascii="Cambria" w:hAnsi="Cambria"/>
      <w:i/>
      <w:iCs/>
      <w:sz w:val="20"/>
      <w:szCs w:val="20"/>
    </w:rPr>
  </w:style>
  <w:style w:type="paragraph" w:styleId="Sumrio2">
    <w:name w:val="toc 2"/>
    <w:basedOn w:val="Normal"/>
    <w:next w:val="Normal"/>
    <w:autoRedefine/>
    <w:uiPriority w:val="39"/>
    <w:rsid w:val="00360C46"/>
    <w:pPr>
      <w:ind w:left="220"/>
      <w:jc w:val="left"/>
    </w:pPr>
    <w:rPr>
      <w:rFonts w:ascii="Cambria" w:hAnsi="Cambria"/>
      <w:smallCaps/>
      <w:sz w:val="20"/>
      <w:szCs w:val="20"/>
    </w:rPr>
  </w:style>
  <w:style w:type="paragraph" w:styleId="Cabealho">
    <w:name w:val="header"/>
    <w:basedOn w:val="Normal"/>
    <w:link w:val="CabealhoChar"/>
    <w:uiPriority w:val="99"/>
    <w:rsid w:val="00360C46"/>
    <w:pPr>
      <w:tabs>
        <w:tab w:val="center" w:pos="4252"/>
        <w:tab w:val="right" w:pos="8504"/>
      </w:tabs>
    </w:pPr>
    <w:rPr>
      <w:rFonts w:ascii="Times New Roman" w:hAnsi="Times New Roman"/>
      <w:sz w:val="24"/>
      <w:lang w:val="x-none" w:eastAsia="x-none"/>
    </w:rPr>
  </w:style>
  <w:style w:type="character" w:customStyle="1" w:styleId="CabealhoChar">
    <w:name w:val="Cabeçalho Char"/>
    <w:link w:val="Cabealho"/>
    <w:uiPriority w:val="99"/>
    <w:locked/>
    <w:rsid w:val="00360C46"/>
    <w:rPr>
      <w:rFonts w:cs="Times New Roman"/>
      <w:sz w:val="24"/>
      <w:szCs w:val="24"/>
    </w:rPr>
  </w:style>
  <w:style w:type="paragraph" w:styleId="Rodap">
    <w:name w:val="footer"/>
    <w:basedOn w:val="Normal"/>
    <w:link w:val="RodapChar"/>
    <w:uiPriority w:val="99"/>
    <w:rsid w:val="00360C46"/>
    <w:pPr>
      <w:tabs>
        <w:tab w:val="center" w:pos="4252"/>
        <w:tab w:val="right" w:pos="8504"/>
      </w:tabs>
    </w:pPr>
    <w:rPr>
      <w:rFonts w:ascii="Times New Roman" w:hAnsi="Times New Roman"/>
      <w:sz w:val="24"/>
      <w:lang w:val="x-none" w:eastAsia="x-none"/>
    </w:rPr>
  </w:style>
  <w:style w:type="character" w:customStyle="1" w:styleId="RodapChar">
    <w:name w:val="Rodapé Char"/>
    <w:link w:val="Rodap"/>
    <w:uiPriority w:val="99"/>
    <w:locked/>
    <w:rsid w:val="00360C46"/>
    <w:rPr>
      <w:rFonts w:cs="Times New Roman"/>
      <w:sz w:val="24"/>
      <w:szCs w:val="24"/>
    </w:rPr>
  </w:style>
  <w:style w:type="paragraph" w:styleId="NormalWeb">
    <w:name w:val="Normal (Web)"/>
    <w:basedOn w:val="Normal"/>
    <w:uiPriority w:val="99"/>
    <w:rsid w:val="00360C46"/>
    <w:pPr>
      <w:spacing w:before="100" w:beforeAutospacing="1" w:after="100" w:afterAutospacing="1"/>
    </w:pPr>
  </w:style>
  <w:style w:type="character" w:styleId="Refdecomentrio">
    <w:name w:val="annotation reference"/>
    <w:semiHidden/>
    <w:rsid w:val="00360C46"/>
    <w:rPr>
      <w:rFonts w:cs="Times New Roman"/>
      <w:sz w:val="16"/>
    </w:rPr>
  </w:style>
  <w:style w:type="paragraph" w:styleId="Textodecomentrio">
    <w:name w:val="annotation text"/>
    <w:basedOn w:val="Normal"/>
    <w:link w:val="TextodecomentrioChar1"/>
    <w:uiPriority w:val="99"/>
    <w:rsid w:val="00360C46"/>
    <w:rPr>
      <w:rFonts w:ascii="Times New Roman" w:hAnsi="Times New Roman"/>
      <w:sz w:val="20"/>
      <w:szCs w:val="20"/>
      <w:lang w:val="x-none" w:eastAsia="x-none"/>
    </w:rPr>
  </w:style>
  <w:style w:type="character" w:customStyle="1" w:styleId="TextodecomentrioChar1">
    <w:name w:val="Texto de comentário Char1"/>
    <w:link w:val="Textodecomentrio"/>
    <w:uiPriority w:val="99"/>
    <w:locked/>
    <w:rsid w:val="00360C46"/>
    <w:rPr>
      <w:rFonts w:cs="Times New Roman"/>
    </w:rPr>
  </w:style>
  <w:style w:type="character" w:customStyle="1" w:styleId="TextodecomentrioChar">
    <w:name w:val="Texto de comentário Char"/>
    <w:rsid w:val="00360C46"/>
    <w:rPr>
      <w:rFonts w:ascii="Calibri" w:hAnsi="Calibri" w:cs="Times New Roman"/>
      <w:lang w:val="x-none" w:eastAsia="en-US"/>
    </w:rPr>
  </w:style>
  <w:style w:type="paragraph" w:styleId="Textodebalo">
    <w:name w:val="Balloon Text"/>
    <w:basedOn w:val="Normal"/>
    <w:link w:val="TextodebaloChar"/>
    <w:uiPriority w:val="99"/>
    <w:semiHidden/>
    <w:rsid w:val="00360C46"/>
    <w:rPr>
      <w:rFonts w:ascii="Segoe UI" w:hAnsi="Segoe UI"/>
      <w:sz w:val="18"/>
      <w:szCs w:val="18"/>
      <w:lang w:val="x-none" w:eastAsia="x-none"/>
    </w:rPr>
  </w:style>
  <w:style w:type="character" w:customStyle="1" w:styleId="TextodebaloChar">
    <w:name w:val="Texto de balão Char"/>
    <w:link w:val="Textodebalo"/>
    <w:uiPriority w:val="99"/>
    <w:semiHidden/>
    <w:locked/>
    <w:rsid w:val="00360C46"/>
    <w:rPr>
      <w:rFonts w:ascii="Segoe UI" w:hAnsi="Segoe UI" w:cs="Times New Roman"/>
      <w:sz w:val="18"/>
      <w:szCs w:val="18"/>
    </w:rPr>
  </w:style>
  <w:style w:type="paragraph" w:customStyle="1" w:styleId="ListParagraph1">
    <w:name w:val="List Paragraph1"/>
    <w:basedOn w:val="Normal"/>
    <w:uiPriority w:val="99"/>
    <w:rsid w:val="00360C46"/>
    <w:pPr>
      <w:ind w:left="720"/>
      <w:contextualSpacing/>
    </w:pPr>
  </w:style>
  <w:style w:type="paragraph" w:customStyle="1" w:styleId="PargrafodaLista1">
    <w:name w:val="Parágrafo da Lista1"/>
    <w:basedOn w:val="Normal"/>
    <w:uiPriority w:val="99"/>
    <w:rsid w:val="00360C46"/>
    <w:pPr>
      <w:spacing w:after="200" w:line="276" w:lineRule="auto"/>
      <w:ind w:left="720"/>
      <w:contextualSpacing/>
    </w:pPr>
    <w:rPr>
      <w:szCs w:val="22"/>
    </w:rPr>
  </w:style>
  <w:style w:type="paragraph" w:customStyle="1" w:styleId="Normal1">
    <w:name w:val="Normal1"/>
    <w:uiPriority w:val="99"/>
    <w:rsid w:val="00360C46"/>
    <w:pPr>
      <w:widowControl w:val="0"/>
      <w:spacing w:after="200" w:line="276" w:lineRule="auto"/>
    </w:pPr>
    <w:rPr>
      <w:rFonts w:ascii="Calibri" w:hAnsi="Calibri" w:cs="Calibri"/>
      <w:color w:val="000000"/>
      <w:sz w:val="22"/>
      <w:szCs w:val="22"/>
    </w:rPr>
  </w:style>
  <w:style w:type="character" w:styleId="Forte">
    <w:name w:val="Strong"/>
    <w:uiPriority w:val="99"/>
    <w:qFormat/>
    <w:rsid w:val="00360C46"/>
    <w:rPr>
      <w:rFonts w:cs="Times New Roman"/>
      <w:b/>
    </w:rPr>
  </w:style>
  <w:style w:type="character" w:customStyle="1" w:styleId="apple-converted-space">
    <w:name w:val="apple-converted-space"/>
    <w:uiPriority w:val="99"/>
    <w:rsid w:val="00360C46"/>
  </w:style>
  <w:style w:type="paragraph" w:styleId="TextosemFormatao">
    <w:name w:val="Plain Text"/>
    <w:basedOn w:val="Normal"/>
    <w:link w:val="TextosemFormataoChar"/>
    <w:uiPriority w:val="99"/>
    <w:rsid w:val="00360C46"/>
    <w:rPr>
      <w:rFonts w:ascii="Courier New" w:hAnsi="Courier New"/>
      <w:sz w:val="20"/>
      <w:szCs w:val="20"/>
      <w:lang w:val="x-none" w:eastAsia="x-none"/>
    </w:rPr>
  </w:style>
  <w:style w:type="character" w:customStyle="1" w:styleId="TextosemFormataoChar">
    <w:name w:val="Texto sem Formatação Char"/>
    <w:link w:val="TextosemFormatao"/>
    <w:uiPriority w:val="99"/>
    <w:locked/>
    <w:rsid w:val="00360C46"/>
    <w:rPr>
      <w:rFonts w:ascii="Courier New" w:hAnsi="Courier New" w:cs="Times New Roman"/>
    </w:rPr>
  </w:style>
  <w:style w:type="paragraph" w:customStyle="1" w:styleId="ecxmsolistparagraph">
    <w:name w:val="ecxmsolistparagraph"/>
    <w:basedOn w:val="Normal"/>
    <w:uiPriority w:val="99"/>
    <w:rsid w:val="00360C46"/>
    <w:pPr>
      <w:spacing w:before="100" w:beforeAutospacing="1" w:after="100" w:afterAutospacing="1"/>
    </w:pPr>
    <w:rPr>
      <w:lang w:eastAsia="pt-BR"/>
    </w:rPr>
  </w:style>
  <w:style w:type="paragraph" w:customStyle="1" w:styleId="Default">
    <w:name w:val="Default"/>
    <w:uiPriority w:val="99"/>
    <w:rsid w:val="00360C46"/>
    <w:pPr>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99"/>
    <w:semiHidden/>
    <w:rsid w:val="00360C46"/>
    <w:pPr>
      <w:spacing w:after="120"/>
    </w:pPr>
    <w:rPr>
      <w:rFonts w:ascii="Times New Roman" w:hAnsi="Times New Roman"/>
      <w:sz w:val="24"/>
      <w:lang w:val="x-none" w:eastAsia="x-none"/>
    </w:rPr>
  </w:style>
  <w:style w:type="character" w:customStyle="1" w:styleId="CorpodetextoChar">
    <w:name w:val="Corpo de texto Char"/>
    <w:link w:val="Corpodetexto"/>
    <w:uiPriority w:val="99"/>
    <w:semiHidden/>
    <w:locked/>
    <w:rsid w:val="00360C46"/>
    <w:rPr>
      <w:rFonts w:cs="Times New Roman"/>
      <w:sz w:val="24"/>
      <w:szCs w:val="24"/>
    </w:rPr>
  </w:style>
  <w:style w:type="paragraph" w:customStyle="1" w:styleId="CAPTULO">
    <w:name w:val="CAPÍTULO"/>
    <w:basedOn w:val="Normal"/>
    <w:next w:val="Normal"/>
    <w:autoRedefine/>
    <w:uiPriority w:val="99"/>
    <w:rsid w:val="00360C46"/>
    <w:pPr>
      <w:framePr w:hSpace="180" w:wrap="around" w:vAnchor="text" w:hAnchor="text" w:y="1"/>
      <w:suppressOverlap/>
    </w:pPr>
    <w:rPr>
      <w:b/>
      <w:sz w:val="26"/>
    </w:rPr>
  </w:style>
  <w:style w:type="paragraph" w:styleId="Assuntodocomentrio">
    <w:name w:val="annotation subject"/>
    <w:basedOn w:val="Textodecomentrio"/>
    <w:next w:val="Textodecomentrio"/>
    <w:link w:val="AssuntodocomentrioChar"/>
    <w:uiPriority w:val="99"/>
    <w:semiHidden/>
    <w:rsid w:val="00360C46"/>
    <w:rPr>
      <w:rFonts w:ascii="Calibri" w:hAnsi="Calibri"/>
      <w:b/>
      <w:bCs/>
      <w:lang w:eastAsia="en-US"/>
    </w:rPr>
  </w:style>
  <w:style w:type="character" w:customStyle="1" w:styleId="AssuntodocomentrioChar">
    <w:name w:val="Assunto do comentário Char"/>
    <w:link w:val="Assuntodocomentrio"/>
    <w:uiPriority w:val="99"/>
    <w:semiHidden/>
    <w:locked/>
    <w:rsid w:val="00360C46"/>
    <w:rPr>
      <w:rFonts w:ascii="Calibri" w:hAnsi="Calibri" w:cs="Times New Roman"/>
      <w:b/>
      <w:bCs/>
      <w:lang w:val="x-none" w:eastAsia="en-US"/>
    </w:rPr>
  </w:style>
  <w:style w:type="paragraph" w:customStyle="1" w:styleId="Revision1">
    <w:name w:val="Revision1"/>
    <w:hidden/>
    <w:uiPriority w:val="99"/>
    <w:semiHidden/>
    <w:rsid w:val="00360C46"/>
    <w:rPr>
      <w:sz w:val="24"/>
      <w:szCs w:val="24"/>
      <w:lang w:eastAsia="en-US"/>
    </w:rPr>
  </w:style>
  <w:style w:type="character" w:customStyle="1" w:styleId="CommentTextChar1">
    <w:name w:val="Comment Text Char1"/>
    <w:uiPriority w:val="99"/>
    <w:rsid w:val="00360C46"/>
    <w:rPr>
      <w:lang w:val="pt-BR" w:eastAsia="pt-BR"/>
    </w:rPr>
  </w:style>
  <w:style w:type="paragraph" w:customStyle="1" w:styleId="Corpo">
    <w:name w:val="Corpo"/>
    <w:uiPriority w:val="99"/>
    <w:rsid w:val="00360C4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styleId="Sumrio4">
    <w:name w:val="toc 4"/>
    <w:basedOn w:val="Normal"/>
    <w:next w:val="Normal"/>
    <w:autoRedefine/>
    <w:uiPriority w:val="99"/>
    <w:rsid w:val="00360C46"/>
    <w:pPr>
      <w:ind w:left="660"/>
      <w:jc w:val="left"/>
    </w:pPr>
    <w:rPr>
      <w:rFonts w:ascii="Cambria" w:hAnsi="Cambria"/>
      <w:sz w:val="18"/>
      <w:szCs w:val="18"/>
    </w:rPr>
  </w:style>
  <w:style w:type="character" w:styleId="AcrnimoHTML">
    <w:name w:val="HTML Acronym"/>
    <w:uiPriority w:val="99"/>
    <w:rsid w:val="00360C46"/>
    <w:rPr>
      <w:rFonts w:cs="Times New Roman"/>
    </w:rPr>
  </w:style>
  <w:style w:type="paragraph" w:styleId="Ttulo">
    <w:name w:val="Title"/>
    <w:aliases w:val="TÍTULO"/>
    <w:basedOn w:val="Normal"/>
    <w:next w:val="Normal"/>
    <w:link w:val="TtuloChar"/>
    <w:uiPriority w:val="99"/>
    <w:qFormat/>
    <w:rsid w:val="00360C46"/>
    <w:pPr>
      <w:outlineLvl w:val="0"/>
    </w:pPr>
    <w:rPr>
      <w:b/>
      <w:bCs/>
      <w:caps/>
      <w:kern w:val="28"/>
      <w:sz w:val="32"/>
      <w:szCs w:val="32"/>
      <w:lang w:val="x-none"/>
    </w:rPr>
  </w:style>
  <w:style w:type="character" w:customStyle="1" w:styleId="TtuloChar">
    <w:name w:val="Título Char"/>
    <w:aliases w:val="TÍTULO Char"/>
    <w:link w:val="Ttulo"/>
    <w:uiPriority w:val="99"/>
    <w:locked/>
    <w:rsid w:val="00360C46"/>
    <w:rPr>
      <w:rFonts w:ascii="Calibri" w:hAnsi="Calibri" w:cs="Arial"/>
      <w:b/>
      <w:bCs/>
      <w:caps/>
      <w:kern w:val="28"/>
      <w:sz w:val="32"/>
      <w:szCs w:val="32"/>
      <w:lang w:val="x-none" w:eastAsia="en-US"/>
    </w:rPr>
  </w:style>
  <w:style w:type="paragraph" w:customStyle="1" w:styleId="SemEspaamento1">
    <w:name w:val="Sem Espaçamento1"/>
    <w:aliases w:val="Seção"/>
    <w:basedOn w:val="Normal"/>
    <w:next w:val="Normal"/>
    <w:uiPriority w:val="99"/>
    <w:qFormat/>
    <w:rsid w:val="00360C46"/>
    <w:rPr>
      <w:b/>
      <w:sz w:val="24"/>
    </w:rPr>
  </w:style>
  <w:style w:type="paragraph" w:customStyle="1" w:styleId="PargrafodaLista2">
    <w:name w:val="Parágrafo da Lista2"/>
    <w:aliases w:val="CAPITULO DE LEI"/>
    <w:basedOn w:val="Normal"/>
    <w:next w:val="Normal"/>
    <w:qFormat/>
    <w:rsid w:val="00360C46"/>
    <w:pPr>
      <w:contextualSpacing/>
    </w:pPr>
    <w:rPr>
      <w:b/>
      <w:sz w:val="26"/>
    </w:rPr>
  </w:style>
  <w:style w:type="character" w:customStyle="1" w:styleId="TextodoEspaoReservado1">
    <w:name w:val="Texto do Espaço Reservado1"/>
    <w:uiPriority w:val="99"/>
    <w:rsid w:val="00360C46"/>
    <w:rPr>
      <w:rFonts w:cs="Times New Roman"/>
      <w:color w:val="808080"/>
    </w:rPr>
  </w:style>
  <w:style w:type="paragraph" w:styleId="Sumrio5">
    <w:name w:val="toc 5"/>
    <w:basedOn w:val="Normal"/>
    <w:next w:val="Normal"/>
    <w:autoRedefine/>
    <w:uiPriority w:val="99"/>
    <w:rsid w:val="00360C46"/>
    <w:pPr>
      <w:ind w:left="880"/>
      <w:jc w:val="left"/>
    </w:pPr>
    <w:rPr>
      <w:rFonts w:ascii="Cambria" w:hAnsi="Cambria"/>
      <w:sz w:val="18"/>
      <w:szCs w:val="18"/>
    </w:rPr>
  </w:style>
  <w:style w:type="paragraph" w:styleId="Sumrio6">
    <w:name w:val="toc 6"/>
    <w:basedOn w:val="Normal"/>
    <w:next w:val="Normal"/>
    <w:autoRedefine/>
    <w:uiPriority w:val="99"/>
    <w:rsid w:val="00360C46"/>
    <w:pPr>
      <w:ind w:left="1100"/>
      <w:jc w:val="left"/>
    </w:pPr>
    <w:rPr>
      <w:rFonts w:ascii="Cambria" w:hAnsi="Cambria"/>
      <w:sz w:val="18"/>
      <w:szCs w:val="18"/>
    </w:rPr>
  </w:style>
  <w:style w:type="paragraph" w:styleId="Sumrio7">
    <w:name w:val="toc 7"/>
    <w:basedOn w:val="Normal"/>
    <w:next w:val="Normal"/>
    <w:autoRedefine/>
    <w:uiPriority w:val="99"/>
    <w:rsid w:val="00360C46"/>
    <w:pPr>
      <w:ind w:left="1320"/>
      <w:jc w:val="left"/>
    </w:pPr>
    <w:rPr>
      <w:rFonts w:ascii="Cambria" w:hAnsi="Cambria"/>
      <w:sz w:val="18"/>
      <w:szCs w:val="18"/>
    </w:rPr>
  </w:style>
  <w:style w:type="paragraph" w:styleId="Sumrio8">
    <w:name w:val="toc 8"/>
    <w:basedOn w:val="Normal"/>
    <w:next w:val="Normal"/>
    <w:autoRedefine/>
    <w:uiPriority w:val="99"/>
    <w:rsid w:val="00360C46"/>
    <w:pPr>
      <w:ind w:left="1540"/>
      <w:jc w:val="left"/>
    </w:pPr>
    <w:rPr>
      <w:rFonts w:ascii="Cambria" w:hAnsi="Cambria"/>
      <w:sz w:val="18"/>
      <w:szCs w:val="18"/>
    </w:rPr>
  </w:style>
  <w:style w:type="paragraph" w:styleId="Sumrio9">
    <w:name w:val="toc 9"/>
    <w:basedOn w:val="Normal"/>
    <w:next w:val="Normal"/>
    <w:autoRedefine/>
    <w:uiPriority w:val="99"/>
    <w:rsid w:val="00360C46"/>
    <w:pPr>
      <w:ind w:left="1760"/>
      <w:jc w:val="left"/>
    </w:pPr>
    <w:rPr>
      <w:rFonts w:ascii="Cambria" w:hAnsi="Cambria"/>
      <w:sz w:val="18"/>
      <w:szCs w:val="18"/>
    </w:rPr>
  </w:style>
  <w:style w:type="character" w:styleId="nfase">
    <w:name w:val="Emphasis"/>
    <w:qFormat/>
    <w:rsid w:val="00360C46"/>
    <w:rPr>
      <w:rFonts w:cs="Times New Roman"/>
      <w:i/>
    </w:rPr>
  </w:style>
  <w:style w:type="paragraph" w:customStyle="1" w:styleId="Reviso1">
    <w:name w:val="Revisão1"/>
    <w:hidden/>
    <w:uiPriority w:val="99"/>
    <w:semiHidden/>
    <w:rsid w:val="00360C46"/>
    <w:rPr>
      <w:rFonts w:ascii="Calibri" w:hAnsi="Calibri"/>
      <w:sz w:val="22"/>
      <w:szCs w:val="24"/>
      <w:lang w:eastAsia="en-US"/>
    </w:rPr>
  </w:style>
  <w:style w:type="paragraph" w:customStyle="1" w:styleId="CitaoIntensa1">
    <w:name w:val="Citação Intensa1"/>
    <w:basedOn w:val="Normal"/>
    <w:next w:val="Normal"/>
    <w:link w:val="IntenseQuoteChar"/>
    <w:uiPriority w:val="99"/>
    <w:qFormat/>
    <w:rsid w:val="00360C46"/>
    <w:pPr>
      <w:pBdr>
        <w:bottom w:val="single" w:sz="4" w:space="4" w:color="4F81BD"/>
      </w:pBdr>
      <w:spacing w:before="200" w:after="280"/>
      <w:ind w:left="936" w:right="936"/>
    </w:pPr>
    <w:rPr>
      <w:b/>
      <w:bCs/>
      <w:i/>
      <w:iCs/>
      <w:color w:val="4F81BD"/>
      <w:sz w:val="24"/>
      <w:lang w:val="x-none"/>
    </w:rPr>
  </w:style>
  <w:style w:type="character" w:customStyle="1" w:styleId="IntenseQuoteChar">
    <w:name w:val="Intense Quote Char"/>
    <w:link w:val="CitaoIntensa1"/>
    <w:uiPriority w:val="99"/>
    <w:locked/>
    <w:rsid w:val="00360C46"/>
    <w:rPr>
      <w:rFonts w:ascii="Calibri" w:hAnsi="Calibri" w:cs="Times New Roman"/>
      <w:b/>
      <w:bCs/>
      <w:i/>
      <w:iCs/>
      <w:color w:val="4F81BD"/>
      <w:sz w:val="24"/>
      <w:szCs w:val="24"/>
      <w:lang w:val="x-none" w:eastAsia="en-US"/>
    </w:rPr>
  </w:style>
  <w:style w:type="character" w:styleId="HiperlinkVisitado">
    <w:name w:val="FollowedHyperlink"/>
    <w:uiPriority w:val="99"/>
    <w:semiHidden/>
    <w:unhideWhenUsed/>
    <w:rsid w:val="009F6318"/>
    <w:rPr>
      <w:color w:val="800080"/>
      <w:u w:val="single"/>
    </w:rPr>
  </w:style>
  <w:style w:type="paragraph" w:styleId="PargrafodaLista">
    <w:name w:val="List Paragraph"/>
    <w:basedOn w:val="Normal"/>
    <w:qFormat/>
    <w:rsid w:val="007B147D"/>
    <w:pPr>
      <w:spacing w:after="200" w:line="276" w:lineRule="auto"/>
      <w:ind w:left="720"/>
      <w:contextualSpacing/>
      <w:jc w:val="left"/>
    </w:pPr>
    <w:rPr>
      <w:rFonts w:eastAsia="Calibri"/>
      <w:szCs w:val="22"/>
    </w:rPr>
  </w:style>
  <w:style w:type="paragraph" w:styleId="Pr-formataoHTML">
    <w:name w:val="HTML Preformatted"/>
    <w:basedOn w:val="Normal"/>
    <w:semiHidden/>
    <w:rsid w:val="00A5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lang w:eastAsia="pt-BR"/>
    </w:rPr>
  </w:style>
  <w:style w:type="paragraph" w:customStyle="1" w:styleId="ListaColorida-nfase11">
    <w:name w:val="Lista Colorida - Ênfase 11"/>
    <w:basedOn w:val="Normal"/>
    <w:uiPriority w:val="34"/>
    <w:qFormat/>
    <w:rsid w:val="002F04A9"/>
    <w:pPr>
      <w:ind w:left="720"/>
      <w:contextualSpacing/>
      <w:jc w:val="left"/>
    </w:pPr>
    <w:rPr>
      <w:rFonts w:ascii="Cambria" w:eastAsia="MS Mincho" w:hAnsi="Cambria"/>
      <w:sz w:val="24"/>
      <w:lang w:val="en-US"/>
    </w:rPr>
  </w:style>
  <w:style w:type="paragraph" w:styleId="Reviso">
    <w:name w:val="Revision"/>
    <w:hidden/>
    <w:uiPriority w:val="99"/>
    <w:semiHidden/>
    <w:rsid w:val="00AD7E97"/>
    <w:rPr>
      <w:rFonts w:ascii="Calibri" w:hAnsi="Calibr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98"/>
    <w:pPr>
      <w:jc w:val="both"/>
    </w:pPr>
    <w:rPr>
      <w:rFonts w:ascii="Calibri" w:hAnsi="Calibri"/>
      <w:sz w:val="22"/>
      <w:szCs w:val="24"/>
      <w:lang w:eastAsia="en-US"/>
    </w:rPr>
  </w:style>
  <w:style w:type="paragraph" w:styleId="Ttulo1">
    <w:name w:val="heading 1"/>
    <w:aliases w:val="teste"/>
    <w:basedOn w:val="Normal"/>
    <w:next w:val="Normal"/>
    <w:link w:val="Ttulo1Char"/>
    <w:autoRedefine/>
    <w:uiPriority w:val="99"/>
    <w:qFormat/>
    <w:rsid w:val="00360C46"/>
    <w:pPr>
      <w:keepNext/>
      <w:keepLines/>
      <w:ind w:left="2124"/>
      <w:outlineLvl w:val="0"/>
    </w:pPr>
    <w:rPr>
      <w:sz w:val="32"/>
      <w:szCs w:val="32"/>
      <w:lang w:val="x-none"/>
    </w:rPr>
  </w:style>
  <w:style w:type="paragraph" w:styleId="Ttulo2">
    <w:name w:val="heading 2"/>
    <w:aliases w:val="Subseção"/>
    <w:basedOn w:val="Normal"/>
    <w:next w:val="Normal"/>
    <w:link w:val="Ttulo2Char"/>
    <w:autoRedefine/>
    <w:uiPriority w:val="99"/>
    <w:qFormat/>
    <w:rsid w:val="00360C46"/>
    <w:pPr>
      <w:keepNext/>
      <w:outlineLvl w:val="1"/>
    </w:pPr>
    <w:rPr>
      <w:b/>
      <w:bCs/>
      <w:sz w:val="26"/>
      <w:szCs w:val="26"/>
      <w:lang w:val="x-none"/>
    </w:rPr>
  </w:style>
  <w:style w:type="paragraph" w:styleId="Ttulo3">
    <w:name w:val="heading 3"/>
    <w:aliases w:val="3,Artigo"/>
    <w:basedOn w:val="Normal"/>
    <w:next w:val="Normal"/>
    <w:link w:val="Ttulo3Char"/>
    <w:uiPriority w:val="99"/>
    <w:qFormat/>
    <w:rsid w:val="00360C46"/>
    <w:pPr>
      <w:keepNext/>
      <w:keepLines/>
      <w:tabs>
        <w:tab w:val="left" w:pos="284"/>
        <w:tab w:val="left" w:pos="567"/>
        <w:tab w:val="left" w:pos="851"/>
        <w:tab w:val="left" w:pos="1134"/>
        <w:tab w:val="left" w:pos="1418"/>
        <w:tab w:val="left" w:pos="1701"/>
        <w:tab w:val="left" w:pos="1985"/>
      </w:tabs>
      <w:spacing w:before="240" w:after="120" w:line="276" w:lineRule="auto"/>
      <w:ind w:left="568"/>
      <w:outlineLvl w:val="2"/>
    </w:pPr>
    <w:rPr>
      <w:rFonts w:ascii="Cambria" w:hAnsi="Cambria"/>
      <w:b/>
      <w:bCs/>
      <w:color w:val="4F81BD"/>
      <w:sz w:val="20"/>
      <w:szCs w:val="20"/>
      <w:lang w:val="en-US" w:eastAsia="x-none"/>
    </w:rPr>
  </w:style>
  <w:style w:type="paragraph" w:styleId="Ttulo4">
    <w:name w:val="heading 4"/>
    <w:aliases w:val="4,Parágrafo"/>
    <w:basedOn w:val="Normal"/>
    <w:link w:val="Ttulo4Char"/>
    <w:uiPriority w:val="99"/>
    <w:qFormat/>
    <w:rsid w:val="00360C46"/>
    <w:pPr>
      <w:keepLines/>
      <w:tabs>
        <w:tab w:val="left" w:pos="284"/>
        <w:tab w:val="left" w:pos="567"/>
        <w:tab w:val="left" w:pos="851"/>
        <w:tab w:val="left" w:pos="1134"/>
        <w:tab w:val="left" w:pos="1418"/>
        <w:tab w:val="left" w:pos="1701"/>
        <w:tab w:val="left" w:pos="1985"/>
      </w:tabs>
      <w:spacing w:before="240" w:after="120" w:line="312" w:lineRule="auto"/>
      <w:ind w:left="852"/>
      <w:outlineLvl w:val="3"/>
    </w:pPr>
    <w:rPr>
      <w:rFonts w:ascii="Cambria" w:hAnsi="Cambria"/>
      <w:bCs/>
      <w:iCs/>
      <w:sz w:val="20"/>
      <w:szCs w:val="20"/>
      <w:lang w:val="en-US" w:eastAsia="x-none"/>
    </w:rPr>
  </w:style>
  <w:style w:type="paragraph" w:styleId="Ttulo5">
    <w:name w:val="heading 5"/>
    <w:aliases w:val="5"/>
    <w:basedOn w:val="Ttulo4"/>
    <w:link w:val="Ttulo5Char"/>
    <w:uiPriority w:val="99"/>
    <w:qFormat/>
    <w:rsid w:val="00360C46"/>
    <w:pPr>
      <w:ind w:left="770" w:right="567"/>
      <w:contextualSpacing/>
      <w:outlineLvl w:val="4"/>
    </w:pPr>
  </w:style>
  <w:style w:type="paragraph" w:styleId="Ttulo6">
    <w:name w:val="heading 6"/>
    <w:aliases w:val="6"/>
    <w:basedOn w:val="Ttulo5"/>
    <w:link w:val="Ttulo6Char"/>
    <w:uiPriority w:val="99"/>
    <w:qFormat/>
    <w:rsid w:val="00360C46"/>
    <w:pPr>
      <w:ind w:left="1420" w:right="851"/>
      <w:outlineLvl w:val="5"/>
    </w:pPr>
    <w:rPr>
      <w:i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este Char"/>
    <w:link w:val="Ttulo1"/>
    <w:uiPriority w:val="99"/>
    <w:locked/>
    <w:rsid w:val="00360C46"/>
    <w:rPr>
      <w:rFonts w:ascii="Calibri" w:hAnsi="Calibri" w:cs="Times New Roman"/>
      <w:sz w:val="32"/>
      <w:szCs w:val="32"/>
      <w:lang w:val="x-none" w:eastAsia="en-US"/>
    </w:rPr>
  </w:style>
  <w:style w:type="character" w:customStyle="1" w:styleId="Ttulo2Char">
    <w:name w:val="Título 2 Char"/>
    <w:aliases w:val="Subseção Char"/>
    <w:link w:val="Ttulo2"/>
    <w:uiPriority w:val="99"/>
    <w:locked/>
    <w:rsid w:val="00360C46"/>
    <w:rPr>
      <w:rFonts w:ascii="Calibri" w:hAnsi="Calibri" w:cs="Calibri"/>
      <w:b/>
      <w:bCs/>
      <w:sz w:val="26"/>
      <w:szCs w:val="26"/>
      <w:lang w:val="x-none" w:eastAsia="en-US"/>
    </w:rPr>
  </w:style>
  <w:style w:type="character" w:customStyle="1" w:styleId="Ttulo3Char">
    <w:name w:val="Título 3 Char"/>
    <w:aliases w:val="3 Char,Artigo Char"/>
    <w:link w:val="Ttulo3"/>
    <w:uiPriority w:val="99"/>
    <w:locked/>
    <w:rsid w:val="00360C46"/>
    <w:rPr>
      <w:rFonts w:ascii="Cambria" w:hAnsi="Cambria" w:cs="Times New Roman"/>
      <w:b/>
      <w:bCs/>
      <w:color w:val="4F81BD"/>
      <w:lang w:val="en-US" w:eastAsia="x-none"/>
    </w:rPr>
  </w:style>
  <w:style w:type="character" w:customStyle="1" w:styleId="Ttulo4Char">
    <w:name w:val="Título 4 Char"/>
    <w:aliases w:val="4 Char,Parágrafo Char"/>
    <w:link w:val="Ttulo4"/>
    <w:uiPriority w:val="99"/>
    <w:locked/>
    <w:rsid w:val="00360C46"/>
    <w:rPr>
      <w:rFonts w:ascii="Cambria" w:hAnsi="Cambria" w:cs="Times New Roman"/>
      <w:bCs/>
      <w:iCs/>
      <w:lang w:val="en-US" w:eastAsia="x-none"/>
    </w:rPr>
  </w:style>
  <w:style w:type="character" w:customStyle="1" w:styleId="Ttulo5Char">
    <w:name w:val="Título 5 Char"/>
    <w:aliases w:val="5 Char"/>
    <w:link w:val="Ttulo5"/>
    <w:uiPriority w:val="99"/>
    <w:locked/>
    <w:rsid w:val="00360C46"/>
    <w:rPr>
      <w:rFonts w:ascii="Cambria" w:hAnsi="Cambria" w:cs="Times New Roman"/>
      <w:bCs/>
      <w:iCs/>
      <w:lang w:val="en-US" w:eastAsia="x-none"/>
    </w:rPr>
  </w:style>
  <w:style w:type="character" w:customStyle="1" w:styleId="Ttulo6Char">
    <w:name w:val="Título 6 Char"/>
    <w:aliases w:val="6 Char"/>
    <w:link w:val="Ttulo6"/>
    <w:uiPriority w:val="99"/>
    <w:locked/>
    <w:rsid w:val="00360C46"/>
    <w:rPr>
      <w:rFonts w:ascii="Cambria" w:hAnsi="Cambria" w:cs="Times New Roman"/>
      <w:bCs/>
      <w:lang w:val="en-US" w:eastAsia="x-none"/>
    </w:rPr>
  </w:style>
  <w:style w:type="table" w:styleId="Tabelacomgrade">
    <w:name w:val="Table Grid"/>
    <w:basedOn w:val="Tabelanormal"/>
    <w:uiPriority w:val="99"/>
    <w:rsid w:val="00360C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60C46"/>
    <w:rPr>
      <w:rFonts w:cs="Times New Roman"/>
      <w:color w:val="0000FF"/>
      <w:u w:val="single"/>
    </w:rPr>
  </w:style>
  <w:style w:type="paragraph" w:customStyle="1" w:styleId="CabealhodoSumrio1">
    <w:name w:val="Cabeçalho do Sumário1"/>
    <w:basedOn w:val="Ttulo1"/>
    <w:next w:val="Normal"/>
    <w:uiPriority w:val="99"/>
    <w:qFormat/>
    <w:rsid w:val="00360C46"/>
    <w:pPr>
      <w:numPr>
        <w:numId w:val="1"/>
      </w:numPr>
      <w:tabs>
        <w:tab w:val="left" w:pos="284"/>
        <w:tab w:val="left" w:pos="567"/>
        <w:tab w:val="left" w:pos="851"/>
        <w:tab w:val="left" w:pos="1134"/>
        <w:tab w:val="left" w:pos="1418"/>
        <w:tab w:val="left" w:pos="1701"/>
        <w:tab w:val="left" w:pos="1985"/>
      </w:tabs>
      <w:spacing w:before="480" w:after="120" w:line="276" w:lineRule="auto"/>
      <w:outlineLvl w:val="9"/>
    </w:pPr>
    <w:rPr>
      <w:rFonts w:ascii="Cambria" w:hAnsi="Cambria"/>
      <w:b/>
      <w:bCs/>
      <w:color w:val="002060"/>
      <w:sz w:val="36"/>
      <w:szCs w:val="28"/>
      <w:lang w:val="en-US"/>
    </w:rPr>
  </w:style>
  <w:style w:type="paragraph" w:styleId="Sumrio1">
    <w:name w:val="toc 1"/>
    <w:basedOn w:val="Normal"/>
    <w:next w:val="Normal"/>
    <w:autoRedefine/>
    <w:uiPriority w:val="39"/>
    <w:rsid w:val="00231F6C"/>
    <w:pPr>
      <w:tabs>
        <w:tab w:val="right" w:pos="8949"/>
      </w:tabs>
      <w:spacing w:before="120" w:after="120"/>
      <w:jc w:val="left"/>
    </w:pPr>
    <w:rPr>
      <w:rFonts w:cs="Calibri"/>
      <w:b/>
      <w:bCs/>
      <w:caps/>
      <w:sz w:val="24"/>
    </w:rPr>
  </w:style>
  <w:style w:type="paragraph" w:styleId="Sumrio3">
    <w:name w:val="toc 3"/>
    <w:basedOn w:val="Normal"/>
    <w:next w:val="Normal"/>
    <w:autoRedefine/>
    <w:uiPriority w:val="39"/>
    <w:rsid w:val="00360C46"/>
    <w:pPr>
      <w:ind w:left="440"/>
      <w:jc w:val="left"/>
    </w:pPr>
    <w:rPr>
      <w:rFonts w:ascii="Cambria" w:hAnsi="Cambria"/>
      <w:i/>
      <w:iCs/>
      <w:sz w:val="20"/>
      <w:szCs w:val="20"/>
    </w:rPr>
  </w:style>
  <w:style w:type="paragraph" w:styleId="Sumrio2">
    <w:name w:val="toc 2"/>
    <w:basedOn w:val="Normal"/>
    <w:next w:val="Normal"/>
    <w:autoRedefine/>
    <w:uiPriority w:val="39"/>
    <w:rsid w:val="00360C46"/>
    <w:pPr>
      <w:ind w:left="220"/>
      <w:jc w:val="left"/>
    </w:pPr>
    <w:rPr>
      <w:rFonts w:ascii="Cambria" w:hAnsi="Cambria"/>
      <w:smallCaps/>
      <w:sz w:val="20"/>
      <w:szCs w:val="20"/>
    </w:rPr>
  </w:style>
  <w:style w:type="paragraph" w:styleId="Cabealho">
    <w:name w:val="header"/>
    <w:basedOn w:val="Normal"/>
    <w:link w:val="CabealhoChar"/>
    <w:uiPriority w:val="99"/>
    <w:rsid w:val="00360C46"/>
    <w:pPr>
      <w:tabs>
        <w:tab w:val="center" w:pos="4252"/>
        <w:tab w:val="right" w:pos="8504"/>
      </w:tabs>
    </w:pPr>
    <w:rPr>
      <w:rFonts w:ascii="Times New Roman" w:hAnsi="Times New Roman"/>
      <w:sz w:val="24"/>
      <w:lang w:val="x-none" w:eastAsia="x-none"/>
    </w:rPr>
  </w:style>
  <w:style w:type="character" w:customStyle="1" w:styleId="CabealhoChar">
    <w:name w:val="Cabeçalho Char"/>
    <w:link w:val="Cabealho"/>
    <w:uiPriority w:val="99"/>
    <w:locked/>
    <w:rsid w:val="00360C46"/>
    <w:rPr>
      <w:rFonts w:cs="Times New Roman"/>
      <w:sz w:val="24"/>
      <w:szCs w:val="24"/>
    </w:rPr>
  </w:style>
  <w:style w:type="paragraph" w:styleId="Rodap">
    <w:name w:val="footer"/>
    <w:basedOn w:val="Normal"/>
    <w:link w:val="RodapChar"/>
    <w:uiPriority w:val="99"/>
    <w:rsid w:val="00360C46"/>
    <w:pPr>
      <w:tabs>
        <w:tab w:val="center" w:pos="4252"/>
        <w:tab w:val="right" w:pos="8504"/>
      </w:tabs>
    </w:pPr>
    <w:rPr>
      <w:rFonts w:ascii="Times New Roman" w:hAnsi="Times New Roman"/>
      <w:sz w:val="24"/>
      <w:lang w:val="x-none" w:eastAsia="x-none"/>
    </w:rPr>
  </w:style>
  <w:style w:type="character" w:customStyle="1" w:styleId="RodapChar">
    <w:name w:val="Rodapé Char"/>
    <w:link w:val="Rodap"/>
    <w:uiPriority w:val="99"/>
    <w:locked/>
    <w:rsid w:val="00360C46"/>
    <w:rPr>
      <w:rFonts w:cs="Times New Roman"/>
      <w:sz w:val="24"/>
      <w:szCs w:val="24"/>
    </w:rPr>
  </w:style>
  <w:style w:type="paragraph" w:styleId="NormalWeb">
    <w:name w:val="Normal (Web)"/>
    <w:basedOn w:val="Normal"/>
    <w:uiPriority w:val="99"/>
    <w:rsid w:val="00360C46"/>
    <w:pPr>
      <w:spacing w:before="100" w:beforeAutospacing="1" w:after="100" w:afterAutospacing="1"/>
    </w:pPr>
  </w:style>
  <w:style w:type="character" w:styleId="Refdecomentrio">
    <w:name w:val="annotation reference"/>
    <w:semiHidden/>
    <w:rsid w:val="00360C46"/>
    <w:rPr>
      <w:rFonts w:cs="Times New Roman"/>
      <w:sz w:val="16"/>
    </w:rPr>
  </w:style>
  <w:style w:type="paragraph" w:styleId="Textodecomentrio">
    <w:name w:val="annotation text"/>
    <w:basedOn w:val="Normal"/>
    <w:link w:val="TextodecomentrioChar1"/>
    <w:uiPriority w:val="99"/>
    <w:rsid w:val="00360C46"/>
    <w:rPr>
      <w:rFonts w:ascii="Times New Roman" w:hAnsi="Times New Roman"/>
      <w:sz w:val="20"/>
      <w:szCs w:val="20"/>
      <w:lang w:val="x-none" w:eastAsia="x-none"/>
    </w:rPr>
  </w:style>
  <w:style w:type="character" w:customStyle="1" w:styleId="TextodecomentrioChar1">
    <w:name w:val="Texto de comentário Char1"/>
    <w:link w:val="Textodecomentrio"/>
    <w:uiPriority w:val="99"/>
    <w:locked/>
    <w:rsid w:val="00360C46"/>
    <w:rPr>
      <w:rFonts w:cs="Times New Roman"/>
    </w:rPr>
  </w:style>
  <w:style w:type="character" w:customStyle="1" w:styleId="TextodecomentrioChar">
    <w:name w:val="Texto de comentário Char"/>
    <w:rsid w:val="00360C46"/>
    <w:rPr>
      <w:rFonts w:ascii="Calibri" w:hAnsi="Calibri" w:cs="Times New Roman"/>
      <w:lang w:val="x-none" w:eastAsia="en-US"/>
    </w:rPr>
  </w:style>
  <w:style w:type="paragraph" w:styleId="Textodebalo">
    <w:name w:val="Balloon Text"/>
    <w:basedOn w:val="Normal"/>
    <w:link w:val="TextodebaloChar"/>
    <w:uiPriority w:val="99"/>
    <w:semiHidden/>
    <w:rsid w:val="00360C46"/>
    <w:rPr>
      <w:rFonts w:ascii="Segoe UI" w:hAnsi="Segoe UI"/>
      <w:sz w:val="18"/>
      <w:szCs w:val="18"/>
      <w:lang w:val="x-none" w:eastAsia="x-none"/>
    </w:rPr>
  </w:style>
  <w:style w:type="character" w:customStyle="1" w:styleId="TextodebaloChar">
    <w:name w:val="Texto de balão Char"/>
    <w:link w:val="Textodebalo"/>
    <w:uiPriority w:val="99"/>
    <w:semiHidden/>
    <w:locked/>
    <w:rsid w:val="00360C46"/>
    <w:rPr>
      <w:rFonts w:ascii="Segoe UI" w:hAnsi="Segoe UI" w:cs="Times New Roman"/>
      <w:sz w:val="18"/>
      <w:szCs w:val="18"/>
    </w:rPr>
  </w:style>
  <w:style w:type="paragraph" w:customStyle="1" w:styleId="ListParagraph1">
    <w:name w:val="List Paragraph1"/>
    <w:basedOn w:val="Normal"/>
    <w:uiPriority w:val="99"/>
    <w:rsid w:val="00360C46"/>
    <w:pPr>
      <w:ind w:left="720"/>
      <w:contextualSpacing/>
    </w:pPr>
  </w:style>
  <w:style w:type="paragraph" w:customStyle="1" w:styleId="PargrafodaLista1">
    <w:name w:val="Parágrafo da Lista1"/>
    <w:basedOn w:val="Normal"/>
    <w:uiPriority w:val="99"/>
    <w:rsid w:val="00360C46"/>
    <w:pPr>
      <w:spacing w:after="200" w:line="276" w:lineRule="auto"/>
      <w:ind w:left="720"/>
      <w:contextualSpacing/>
    </w:pPr>
    <w:rPr>
      <w:szCs w:val="22"/>
    </w:rPr>
  </w:style>
  <w:style w:type="paragraph" w:customStyle="1" w:styleId="Normal1">
    <w:name w:val="Normal1"/>
    <w:uiPriority w:val="99"/>
    <w:rsid w:val="00360C46"/>
    <w:pPr>
      <w:widowControl w:val="0"/>
      <w:spacing w:after="200" w:line="276" w:lineRule="auto"/>
    </w:pPr>
    <w:rPr>
      <w:rFonts w:ascii="Calibri" w:hAnsi="Calibri" w:cs="Calibri"/>
      <w:color w:val="000000"/>
      <w:sz w:val="22"/>
      <w:szCs w:val="22"/>
    </w:rPr>
  </w:style>
  <w:style w:type="character" w:styleId="Forte">
    <w:name w:val="Strong"/>
    <w:uiPriority w:val="99"/>
    <w:qFormat/>
    <w:rsid w:val="00360C46"/>
    <w:rPr>
      <w:rFonts w:cs="Times New Roman"/>
      <w:b/>
    </w:rPr>
  </w:style>
  <w:style w:type="character" w:customStyle="1" w:styleId="apple-converted-space">
    <w:name w:val="apple-converted-space"/>
    <w:uiPriority w:val="99"/>
    <w:rsid w:val="00360C46"/>
  </w:style>
  <w:style w:type="paragraph" w:styleId="TextosemFormatao">
    <w:name w:val="Plain Text"/>
    <w:basedOn w:val="Normal"/>
    <w:link w:val="TextosemFormataoChar"/>
    <w:uiPriority w:val="99"/>
    <w:rsid w:val="00360C46"/>
    <w:rPr>
      <w:rFonts w:ascii="Courier New" w:hAnsi="Courier New"/>
      <w:sz w:val="20"/>
      <w:szCs w:val="20"/>
      <w:lang w:val="x-none" w:eastAsia="x-none"/>
    </w:rPr>
  </w:style>
  <w:style w:type="character" w:customStyle="1" w:styleId="TextosemFormataoChar">
    <w:name w:val="Texto sem Formatação Char"/>
    <w:link w:val="TextosemFormatao"/>
    <w:uiPriority w:val="99"/>
    <w:locked/>
    <w:rsid w:val="00360C46"/>
    <w:rPr>
      <w:rFonts w:ascii="Courier New" w:hAnsi="Courier New" w:cs="Times New Roman"/>
    </w:rPr>
  </w:style>
  <w:style w:type="paragraph" w:customStyle="1" w:styleId="ecxmsolistparagraph">
    <w:name w:val="ecxmsolistparagraph"/>
    <w:basedOn w:val="Normal"/>
    <w:uiPriority w:val="99"/>
    <w:rsid w:val="00360C46"/>
    <w:pPr>
      <w:spacing w:before="100" w:beforeAutospacing="1" w:after="100" w:afterAutospacing="1"/>
    </w:pPr>
    <w:rPr>
      <w:lang w:eastAsia="pt-BR"/>
    </w:rPr>
  </w:style>
  <w:style w:type="paragraph" w:customStyle="1" w:styleId="Default">
    <w:name w:val="Default"/>
    <w:uiPriority w:val="99"/>
    <w:rsid w:val="00360C46"/>
    <w:pPr>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99"/>
    <w:semiHidden/>
    <w:rsid w:val="00360C46"/>
    <w:pPr>
      <w:spacing w:after="120"/>
    </w:pPr>
    <w:rPr>
      <w:rFonts w:ascii="Times New Roman" w:hAnsi="Times New Roman"/>
      <w:sz w:val="24"/>
      <w:lang w:val="x-none" w:eastAsia="x-none"/>
    </w:rPr>
  </w:style>
  <w:style w:type="character" w:customStyle="1" w:styleId="CorpodetextoChar">
    <w:name w:val="Corpo de texto Char"/>
    <w:link w:val="Corpodetexto"/>
    <w:uiPriority w:val="99"/>
    <w:semiHidden/>
    <w:locked/>
    <w:rsid w:val="00360C46"/>
    <w:rPr>
      <w:rFonts w:cs="Times New Roman"/>
      <w:sz w:val="24"/>
      <w:szCs w:val="24"/>
    </w:rPr>
  </w:style>
  <w:style w:type="paragraph" w:customStyle="1" w:styleId="CAPTULO">
    <w:name w:val="CAPÍTULO"/>
    <w:basedOn w:val="Normal"/>
    <w:next w:val="Normal"/>
    <w:autoRedefine/>
    <w:uiPriority w:val="99"/>
    <w:rsid w:val="00360C46"/>
    <w:pPr>
      <w:framePr w:hSpace="180" w:wrap="around" w:vAnchor="text" w:hAnchor="text" w:y="1"/>
      <w:suppressOverlap/>
    </w:pPr>
    <w:rPr>
      <w:b/>
      <w:sz w:val="26"/>
    </w:rPr>
  </w:style>
  <w:style w:type="paragraph" w:styleId="Assuntodocomentrio">
    <w:name w:val="annotation subject"/>
    <w:basedOn w:val="Textodecomentrio"/>
    <w:next w:val="Textodecomentrio"/>
    <w:link w:val="AssuntodocomentrioChar"/>
    <w:uiPriority w:val="99"/>
    <w:semiHidden/>
    <w:rsid w:val="00360C46"/>
    <w:rPr>
      <w:rFonts w:ascii="Calibri" w:hAnsi="Calibri"/>
      <w:b/>
      <w:bCs/>
      <w:lang w:eastAsia="en-US"/>
    </w:rPr>
  </w:style>
  <w:style w:type="character" w:customStyle="1" w:styleId="AssuntodocomentrioChar">
    <w:name w:val="Assunto do comentário Char"/>
    <w:link w:val="Assuntodocomentrio"/>
    <w:uiPriority w:val="99"/>
    <w:semiHidden/>
    <w:locked/>
    <w:rsid w:val="00360C46"/>
    <w:rPr>
      <w:rFonts w:ascii="Calibri" w:hAnsi="Calibri" w:cs="Times New Roman"/>
      <w:b/>
      <w:bCs/>
      <w:lang w:val="x-none" w:eastAsia="en-US"/>
    </w:rPr>
  </w:style>
  <w:style w:type="paragraph" w:customStyle="1" w:styleId="Revision1">
    <w:name w:val="Revision1"/>
    <w:hidden/>
    <w:uiPriority w:val="99"/>
    <w:semiHidden/>
    <w:rsid w:val="00360C46"/>
    <w:rPr>
      <w:sz w:val="24"/>
      <w:szCs w:val="24"/>
      <w:lang w:eastAsia="en-US"/>
    </w:rPr>
  </w:style>
  <w:style w:type="character" w:customStyle="1" w:styleId="CommentTextChar1">
    <w:name w:val="Comment Text Char1"/>
    <w:uiPriority w:val="99"/>
    <w:rsid w:val="00360C46"/>
    <w:rPr>
      <w:lang w:val="pt-BR" w:eastAsia="pt-BR"/>
    </w:rPr>
  </w:style>
  <w:style w:type="paragraph" w:customStyle="1" w:styleId="Corpo">
    <w:name w:val="Corpo"/>
    <w:uiPriority w:val="99"/>
    <w:rsid w:val="00360C4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styleId="Sumrio4">
    <w:name w:val="toc 4"/>
    <w:basedOn w:val="Normal"/>
    <w:next w:val="Normal"/>
    <w:autoRedefine/>
    <w:uiPriority w:val="99"/>
    <w:rsid w:val="00360C46"/>
    <w:pPr>
      <w:ind w:left="660"/>
      <w:jc w:val="left"/>
    </w:pPr>
    <w:rPr>
      <w:rFonts w:ascii="Cambria" w:hAnsi="Cambria"/>
      <w:sz w:val="18"/>
      <w:szCs w:val="18"/>
    </w:rPr>
  </w:style>
  <w:style w:type="character" w:styleId="AcrnimoHTML">
    <w:name w:val="HTML Acronym"/>
    <w:uiPriority w:val="99"/>
    <w:rsid w:val="00360C46"/>
    <w:rPr>
      <w:rFonts w:cs="Times New Roman"/>
    </w:rPr>
  </w:style>
  <w:style w:type="paragraph" w:styleId="Ttulo">
    <w:name w:val="Title"/>
    <w:aliases w:val="TÍTULO"/>
    <w:basedOn w:val="Normal"/>
    <w:next w:val="Normal"/>
    <w:link w:val="TtuloChar"/>
    <w:uiPriority w:val="99"/>
    <w:qFormat/>
    <w:rsid w:val="00360C46"/>
    <w:pPr>
      <w:outlineLvl w:val="0"/>
    </w:pPr>
    <w:rPr>
      <w:b/>
      <w:bCs/>
      <w:caps/>
      <w:kern w:val="28"/>
      <w:sz w:val="32"/>
      <w:szCs w:val="32"/>
      <w:lang w:val="x-none"/>
    </w:rPr>
  </w:style>
  <w:style w:type="character" w:customStyle="1" w:styleId="TtuloChar">
    <w:name w:val="Título Char"/>
    <w:aliases w:val="TÍTULO Char"/>
    <w:link w:val="Ttulo"/>
    <w:uiPriority w:val="99"/>
    <w:locked/>
    <w:rsid w:val="00360C46"/>
    <w:rPr>
      <w:rFonts w:ascii="Calibri" w:hAnsi="Calibri" w:cs="Arial"/>
      <w:b/>
      <w:bCs/>
      <w:caps/>
      <w:kern w:val="28"/>
      <w:sz w:val="32"/>
      <w:szCs w:val="32"/>
      <w:lang w:val="x-none" w:eastAsia="en-US"/>
    </w:rPr>
  </w:style>
  <w:style w:type="paragraph" w:customStyle="1" w:styleId="SemEspaamento1">
    <w:name w:val="Sem Espaçamento1"/>
    <w:aliases w:val="Seção"/>
    <w:basedOn w:val="Normal"/>
    <w:next w:val="Normal"/>
    <w:uiPriority w:val="99"/>
    <w:qFormat/>
    <w:rsid w:val="00360C46"/>
    <w:rPr>
      <w:b/>
      <w:sz w:val="24"/>
    </w:rPr>
  </w:style>
  <w:style w:type="paragraph" w:customStyle="1" w:styleId="PargrafodaLista2">
    <w:name w:val="Parágrafo da Lista2"/>
    <w:aliases w:val="CAPITULO DE LEI"/>
    <w:basedOn w:val="Normal"/>
    <w:next w:val="Normal"/>
    <w:qFormat/>
    <w:rsid w:val="00360C46"/>
    <w:pPr>
      <w:contextualSpacing/>
    </w:pPr>
    <w:rPr>
      <w:b/>
      <w:sz w:val="26"/>
    </w:rPr>
  </w:style>
  <w:style w:type="character" w:customStyle="1" w:styleId="TextodoEspaoReservado1">
    <w:name w:val="Texto do Espaço Reservado1"/>
    <w:uiPriority w:val="99"/>
    <w:rsid w:val="00360C46"/>
    <w:rPr>
      <w:rFonts w:cs="Times New Roman"/>
      <w:color w:val="808080"/>
    </w:rPr>
  </w:style>
  <w:style w:type="paragraph" w:styleId="Sumrio5">
    <w:name w:val="toc 5"/>
    <w:basedOn w:val="Normal"/>
    <w:next w:val="Normal"/>
    <w:autoRedefine/>
    <w:uiPriority w:val="99"/>
    <w:rsid w:val="00360C46"/>
    <w:pPr>
      <w:ind w:left="880"/>
      <w:jc w:val="left"/>
    </w:pPr>
    <w:rPr>
      <w:rFonts w:ascii="Cambria" w:hAnsi="Cambria"/>
      <w:sz w:val="18"/>
      <w:szCs w:val="18"/>
    </w:rPr>
  </w:style>
  <w:style w:type="paragraph" w:styleId="Sumrio6">
    <w:name w:val="toc 6"/>
    <w:basedOn w:val="Normal"/>
    <w:next w:val="Normal"/>
    <w:autoRedefine/>
    <w:uiPriority w:val="99"/>
    <w:rsid w:val="00360C46"/>
    <w:pPr>
      <w:ind w:left="1100"/>
      <w:jc w:val="left"/>
    </w:pPr>
    <w:rPr>
      <w:rFonts w:ascii="Cambria" w:hAnsi="Cambria"/>
      <w:sz w:val="18"/>
      <w:szCs w:val="18"/>
    </w:rPr>
  </w:style>
  <w:style w:type="paragraph" w:styleId="Sumrio7">
    <w:name w:val="toc 7"/>
    <w:basedOn w:val="Normal"/>
    <w:next w:val="Normal"/>
    <w:autoRedefine/>
    <w:uiPriority w:val="99"/>
    <w:rsid w:val="00360C46"/>
    <w:pPr>
      <w:ind w:left="1320"/>
      <w:jc w:val="left"/>
    </w:pPr>
    <w:rPr>
      <w:rFonts w:ascii="Cambria" w:hAnsi="Cambria"/>
      <w:sz w:val="18"/>
      <w:szCs w:val="18"/>
    </w:rPr>
  </w:style>
  <w:style w:type="paragraph" w:styleId="Sumrio8">
    <w:name w:val="toc 8"/>
    <w:basedOn w:val="Normal"/>
    <w:next w:val="Normal"/>
    <w:autoRedefine/>
    <w:uiPriority w:val="99"/>
    <w:rsid w:val="00360C46"/>
    <w:pPr>
      <w:ind w:left="1540"/>
      <w:jc w:val="left"/>
    </w:pPr>
    <w:rPr>
      <w:rFonts w:ascii="Cambria" w:hAnsi="Cambria"/>
      <w:sz w:val="18"/>
      <w:szCs w:val="18"/>
    </w:rPr>
  </w:style>
  <w:style w:type="paragraph" w:styleId="Sumrio9">
    <w:name w:val="toc 9"/>
    <w:basedOn w:val="Normal"/>
    <w:next w:val="Normal"/>
    <w:autoRedefine/>
    <w:uiPriority w:val="99"/>
    <w:rsid w:val="00360C46"/>
    <w:pPr>
      <w:ind w:left="1760"/>
      <w:jc w:val="left"/>
    </w:pPr>
    <w:rPr>
      <w:rFonts w:ascii="Cambria" w:hAnsi="Cambria"/>
      <w:sz w:val="18"/>
      <w:szCs w:val="18"/>
    </w:rPr>
  </w:style>
  <w:style w:type="character" w:styleId="nfase">
    <w:name w:val="Emphasis"/>
    <w:qFormat/>
    <w:rsid w:val="00360C46"/>
    <w:rPr>
      <w:rFonts w:cs="Times New Roman"/>
      <w:i/>
    </w:rPr>
  </w:style>
  <w:style w:type="paragraph" w:customStyle="1" w:styleId="Reviso1">
    <w:name w:val="Revisão1"/>
    <w:hidden/>
    <w:uiPriority w:val="99"/>
    <w:semiHidden/>
    <w:rsid w:val="00360C46"/>
    <w:rPr>
      <w:rFonts w:ascii="Calibri" w:hAnsi="Calibri"/>
      <w:sz w:val="22"/>
      <w:szCs w:val="24"/>
      <w:lang w:eastAsia="en-US"/>
    </w:rPr>
  </w:style>
  <w:style w:type="paragraph" w:customStyle="1" w:styleId="CitaoIntensa1">
    <w:name w:val="Citação Intensa1"/>
    <w:basedOn w:val="Normal"/>
    <w:next w:val="Normal"/>
    <w:link w:val="IntenseQuoteChar"/>
    <w:uiPriority w:val="99"/>
    <w:qFormat/>
    <w:rsid w:val="00360C46"/>
    <w:pPr>
      <w:pBdr>
        <w:bottom w:val="single" w:sz="4" w:space="4" w:color="4F81BD"/>
      </w:pBdr>
      <w:spacing w:before="200" w:after="280"/>
      <w:ind w:left="936" w:right="936"/>
    </w:pPr>
    <w:rPr>
      <w:b/>
      <w:bCs/>
      <w:i/>
      <w:iCs/>
      <w:color w:val="4F81BD"/>
      <w:sz w:val="24"/>
      <w:lang w:val="x-none"/>
    </w:rPr>
  </w:style>
  <w:style w:type="character" w:customStyle="1" w:styleId="IntenseQuoteChar">
    <w:name w:val="Intense Quote Char"/>
    <w:link w:val="CitaoIntensa1"/>
    <w:uiPriority w:val="99"/>
    <w:locked/>
    <w:rsid w:val="00360C46"/>
    <w:rPr>
      <w:rFonts w:ascii="Calibri" w:hAnsi="Calibri" w:cs="Times New Roman"/>
      <w:b/>
      <w:bCs/>
      <w:i/>
      <w:iCs/>
      <w:color w:val="4F81BD"/>
      <w:sz w:val="24"/>
      <w:szCs w:val="24"/>
      <w:lang w:val="x-none" w:eastAsia="en-US"/>
    </w:rPr>
  </w:style>
  <w:style w:type="character" w:styleId="HiperlinkVisitado">
    <w:name w:val="FollowedHyperlink"/>
    <w:uiPriority w:val="99"/>
    <w:semiHidden/>
    <w:unhideWhenUsed/>
    <w:rsid w:val="009F6318"/>
    <w:rPr>
      <w:color w:val="800080"/>
      <w:u w:val="single"/>
    </w:rPr>
  </w:style>
  <w:style w:type="paragraph" w:styleId="PargrafodaLista">
    <w:name w:val="List Paragraph"/>
    <w:basedOn w:val="Normal"/>
    <w:qFormat/>
    <w:rsid w:val="007B147D"/>
    <w:pPr>
      <w:spacing w:after="200" w:line="276" w:lineRule="auto"/>
      <w:ind w:left="720"/>
      <w:contextualSpacing/>
      <w:jc w:val="left"/>
    </w:pPr>
    <w:rPr>
      <w:rFonts w:eastAsia="Calibri"/>
      <w:szCs w:val="22"/>
    </w:rPr>
  </w:style>
  <w:style w:type="paragraph" w:styleId="Pr-formataoHTML">
    <w:name w:val="HTML Preformatted"/>
    <w:basedOn w:val="Normal"/>
    <w:semiHidden/>
    <w:rsid w:val="00A5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lang w:eastAsia="pt-BR"/>
    </w:rPr>
  </w:style>
  <w:style w:type="paragraph" w:customStyle="1" w:styleId="ListaColorida-nfase11">
    <w:name w:val="Lista Colorida - Ênfase 11"/>
    <w:basedOn w:val="Normal"/>
    <w:uiPriority w:val="34"/>
    <w:qFormat/>
    <w:rsid w:val="002F04A9"/>
    <w:pPr>
      <w:ind w:left="720"/>
      <w:contextualSpacing/>
      <w:jc w:val="left"/>
    </w:pPr>
    <w:rPr>
      <w:rFonts w:ascii="Cambria" w:eastAsia="MS Mincho" w:hAnsi="Cambria"/>
      <w:sz w:val="24"/>
      <w:lang w:val="en-US"/>
    </w:rPr>
  </w:style>
  <w:style w:type="paragraph" w:styleId="Reviso">
    <w:name w:val="Revision"/>
    <w:hidden/>
    <w:uiPriority w:val="99"/>
    <w:semiHidden/>
    <w:rsid w:val="00AD7E97"/>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598">
      <w:bodyDiv w:val="1"/>
      <w:marLeft w:val="0"/>
      <w:marRight w:val="0"/>
      <w:marTop w:val="0"/>
      <w:marBottom w:val="0"/>
      <w:divBdr>
        <w:top w:val="none" w:sz="0" w:space="0" w:color="auto"/>
        <w:left w:val="none" w:sz="0" w:space="0" w:color="auto"/>
        <w:bottom w:val="none" w:sz="0" w:space="0" w:color="auto"/>
        <w:right w:val="none" w:sz="0" w:space="0" w:color="auto"/>
      </w:divBdr>
    </w:div>
    <w:div w:id="35129274">
      <w:bodyDiv w:val="1"/>
      <w:marLeft w:val="0"/>
      <w:marRight w:val="0"/>
      <w:marTop w:val="0"/>
      <w:marBottom w:val="0"/>
      <w:divBdr>
        <w:top w:val="none" w:sz="0" w:space="0" w:color="auto"/>
        <w:left w:val="none" w:sz="0" w:space="0" w:color="auto"/>
        <w:bottom w:val="none" w:sz="0" w:space="0" w:color="auto"/>
        <w:right w:val="none" w:sz="0" w:space="0" w:color="auto"/>
      </w:divBdr>
    </w:div>
    <w:div w:id="106657225">
      <w:bodyDiv w:val="1"/>
      <w:marLeft w:val="0"/>
      <w:marRight w:val="0"/>
      <w:marTop w:val="0"/>
      <w:marBottom w:val="0"/>
      <w:divBdr>
        <w:top w:val="none" w:sz="0" w:space="0" w:color="auto"/>
        <w:left w:val="none" w:sz="0" w:space="0" w:color="auto"/>
        <w:bottom w:val="none" w:sz="0" w:space="0" w:color="auto"/>
        <w:right w:val="none" w:sz="0" w:space="0" w:color="auto"/>
      </w:divBdr>
    </w:div>
    <w:div w:id="167450772">
      <w:bodyDiv w:val="1"/>
      <w:marLeft w:val="0"/>
      <w:marRight w:val="0"/>
      <w:marTop w:val="0"/>
      <w:marBottom w:val="0"/>
      <w:divBdr>
        <w:top w:val="none" w:sz="0" w:space="0" w:color="auto"/>
        <w:left w:val="none" w:sz="0" w:space="0" w:color="auto"/>
        <w:bottom w:val="none" w:sz="0" w:space="0" w:color="auto"/>
        <w:right w:val="none" w:sz="0" w:space="0" w:color="auto"/>
      </w:divBdr>
    </w:div>
    <w:div w:id="251284232">
      <w:bodyDiv w:val="1"/>
      <w:marLeft w:val="0"/>
      <w:marRight w:val="0"/>
      <w:marTop w:val="0"/>
      <w:marBottom w:val="0"/>
      <w:divBdr>
        <w:top w:val="none" w:sz="0" w:space="0" w:color="auto"/>
        <w:left w:val="none" w:sz="0" w:space="0" w:color="auto"/>
        <w:bottom w:val="none" w:sz="0" w:space="0" w:color="auto"/>
        <w:right w:val="none" w:sz="0" w:space="0" w:color="auto"/>
      </w:divBdr>
    </w:div>
    <w:div w:id="477499214">
      <w:bodyDiv w:val="1"/>
      <w:marLeft w:val="0"/>
      <w:marRight w:val="0"/>
      <w:marTop w:val="0"/>
      <w:marBottom w:val="0"/>
      <w:divBdr>
        <w:top w:val="none" w:sz="0" w:space="0" w:color="auto"/>
        <w:left w:val="none" w:sz="0" w:space="0" w:color="auto"/>
        <w:bottom w:val="none" w:sz="0" w:space="0" w:color="auto"/>
        <w:right w:val="none" w:sz="0" w:space="0" w:color="auto"/>
      </w:divBdr>
    </w:div>
    <w:div w:id="493647761">
      <w:bodyDiv w:val="1"/>
      <w:marLeft w:val="0"/>
      <w:marRight w:val="0"/>
      <w:marTop w:val="0"/>
      <w:marBottom w:val="0"/>
      <w:divBdr>
        <w:top w:val="none" w:sz="0" w:space="0" w:color="auto"/>
        <w:left w:val="none" w:sz="0" w:space="0" w:color="auto"/>
        <w:bottom w:val="none" w:sz="0" w:space="0" w:color="auto"/>
        <w:right w:val="none" w:sz="0" w:space="0" w:color="auto"/>
      </w:divBdr>
    </w:div>
    <w:div w:id="522666971">
      <w:bodyDiv w:val="1"/>
      <w:marLeft w:val="0"/>
      <w:marRight w:val="0"/>
      <w:marTop w:val="0"/>
      <w:marBottom w:val="0"/>
      <w:divBdr>
        <w:top w:val="none" w:sz="0" w:space="0" w:color="auto"/>
        <w:left w:val="none" w:sz="0" w:space="0" w:color="auto"/>
        <w:bottom w:val="none" w:sz="0" w:space="0" w:color="auto"/>
        <w:right w:val="none" w:sz="0" w:space="0" w:color="auto"/>
      </w:divBdr>
    </w:div>
    <w:div w:id="806364004">
      <w:bodyDiv w:val="1"/>
      <w:marLeft w:val="0"/>
      <w:marRight w:val="0"/>
      <w:marTop w:val="0"/>
      <w:marBottom w:val="0"/>
      <w:divBdr>
        <w:top w:val="none" w:sz="0" w:space="0" w:color="auto"/>
        <w:left w:val="none" w:sz="0" w:space="0" w:color="auto"/>
        <w:bottom w:val="none" w:sz="0" w:space="0" w:color="auto"/>
        <w:right w:val="none" w:sz="0" w:space="0" w:color="auto"/>
      </w:divBdr>
    </w:div>
    <w:div w:id="849953205">
      <w:bodyDiv w:val="1"/>
      <w:marLeft w:val="0"/>
      <w:marRight w:val="0"/>
      <w:marTop w:val="0"/>
      <w:marBottom w:val="0"/>
      <w:divBdr>
        <w:top w:val="none" w:sz="0" w:space="0" w:color="auto"/>
        <w:left w:val="none" w:sz="0" w:space="0" w:color="auto"/>
        <w:bottom w:val="none" w:sz="0" w:space="0" w:color="auto"/>
        <w:right w:val="none" w:sz="0" w:space="0" w:color="auto"/>
      </w:divBdr>
    </w:div>
    <w:div w:id="851648401">
      <w:bodyDiv w:val="1"/>
      <w:marLeft w:val="0"/>
      <w:marRight w:val="0"/>
      <w:marTop w:val="0"/>
      <w:marBottom w:val="0"/>
      <w:divBdr>
        <w:top w:val="none" w:sz="0" w:space="0" w:color="auto"/>
        <w:left w:val="none" w:sz="0" w:space="0" w:color="auto"/>
        <w:bottom w:val="none" w:sz="0" w:space="0" w:color="auto"/>
        <w:right w:val="none" w:sz="0" w:space="0" w:color="auto"/>
      </w:divBdr>
    </w:div>
    <w:div w:id="904606437">
      <w:bodyDiv w:val="1"/>
      <w:marLeft w:val="0"/>
      <w:marRight w:val="0"/>
      <w:marTop w:val="0"/>
      <w:marBottom w:val="0"/>
      <w:divBdr>
        <w:top w:val="none" w:sz="0" w:space="0" w:color="auto"/>
        <w:left w:val="none" w:sz="0" w:space="0" w:color="auto"/>
        <w:bottom w:val="none" w:sz="0" w:space="0" w:color="auto"/>
        <w:right w:val="none" w:sz="0" w:space="0" w:color="auto"/>
      </w:divBdr>
    </w:div>
    <w:div w:id="955794943">
      <w:bodyDiv w:val="1"/>
      <w:marLeft w:val="0"/>
      <w:marRight w:val="0"/>
      <w:marTop w:val="0"/>
      <w:marBottom w:val="0"/>
      <w:divBdr>
        <w:top w:val="none" w:sz="0" w:space="0" w:color="auto"/>
        <w:left w:val="none" w:sz="0" w:space="0" w:color="auto"/>
        <w:bottom w:val="none" w:sz="0" w:space="0" w:color="auto"/>
        <w:right w:val="none" w:sz="0" w:space="0" w:color="auto"/>
      </w:divBdr>
    </w:div>
    <w:div w:id="1075931380">
      <w:bodyDiv w:val="1"/>
      <w:marLeft w:val="0"/>
      <w:marRight w:val="0"/>
      <w:marTop w:val="0"/>
      <w:marBottom w:val="0"/>
      <w:divBdr>
        <w:top w:val="none" w:sz="0" w:space="0" w:color="auto"/>
        <w:left w:val="none" w:sz="0" w:space="0" w:color="auto"/>
        <w:bottom w:val="none" w:sz="0" w:space="0" w:color="auto"/>
        <w:right w:val="none" w:sz="0" w:space="0" w:color="auto"/>
      </w:divBdr>
    </w:div>
    <w:div w:id="1086262998">
      <w:bodyDiv w:val="1"/>
      <w:marLeft w:val="0"/>
      <w:marRight w:val="0"/>
      <w:marTop w:val="0"/>
      <w:marBottom w:val="0"/>
      <w:divBdr>
        <w:top w:val="none" w:sz="0" w:space="0" w:color="auto"/>
        <w:left w:val="none" w:sz="0" w:space="0" w:color="auto"/>
        <w:bottom w:val="none" w:sz="0" w:space="0" w:color="auto"/>
        <w:right w:val="none" w:sz="0" w:space="0" w:color="auto"/>
      </w:divBdr>
    </w:div>
    <w:div w:id="1101100018">
      <w:bodyDiv w:val="1"/>
      <w:marLeft w:val="0"/>
      <w:marRight w:val="0"/>
      <w:marTop w:val="0"/>
      <w:marBottom w:val="0"/>
      <w:divBdr>
        <w:top w:val="none" w:sz="0" w:space="0" w:color="auto"/>
        <w:left w:val="none" w:sz="0" w:space="0" w:color="auto"/>
        <w:bottom w:val="none" w:sz="0" w:space="0" w:color="auto"/>
        <w:right w:val="none" w:sz="0" w:space="0" w:color="auto"/>
      </w:divBdr>
    </w:div>
    <w:div w:id="1126896430">
      <w:bodyDiv w:val="1"/>
      <w:marLeft w:val="0"/>
      <w:marRight w:val="0"/>
      <w:marTop w:val="0"/>
      <w:marBottom w:val="0"/>
      <w:divBdr>
        <w:top w:val="none" w:sz="0" w:space="0" w:color="auto"/>
        <w:left w:val="none" w:sz="0" w:space="0" w:color="auto"/>
        <w:bottom w:val="none" w:sz="0" w:space="0" w:color="auto"/>
        <w:right w:val="none" w:sz="0" w:space="0" w:color="auto"/>
      </w:divBdr>
    </w:div>
    <w:div w:id="1304577559">
      <w:bodyDiv w:val="1"/>
      <w:marLeft w:val="0"/>
      <w:marRight w:val="0"/>
      <w:marTop w:val="0"/>
      <w:marBottom w:val="0"/>
      <w:divBdr>
        <w:top w:val="none" w:sz="0" w:space="0" w:color="auto"/>
        <w:left w:val="none" w:sz="0" w:space="0" w:color="auto"/>
        <w:bottom w:val="none" w:sz="0" w:space="0" w:color="auto"/>
        <w:right w:val="none" w:sz="0" w:space="0" w:color="auto"/>
      </w:divBdr>
    </w:div>
    <w:div w:id="1447919500">
      <w:bodyDiv w:val="1"/>
      <w:marLeft w:val="0"/>
      <w:marRight w:val="0"/>
      <w:marTop w:val="0"/>
      <w:marBottom w:val="0"/>
      <w:divBdr>
        <w:top w:val="none" w:sz="0" w:space="0" w:color="auto"/>
        <w:left w:val="none" w:sz="0" w:space="0" w:color="auto"/>
        <w:bottom w:val="none" w:sz="0" w:space="0" w:color="auto"/>
        <w:right w:val="none" w:sz="0" w:space="0" w:color="auto"/>
      </w:divBdr>
    </w:div>
    <w:div w:id="1537041111">
      <w:bodyDiv w:val="1"/>
      <w:marLeft w:val="0"/>
      <w:marRight w:val="0"/>
      <w:marTop w:val="0"/>
      <w:marBottom w:val="0"/>
      <w:divBdr>
        <w:top w:val="none" w:sz="0" w:space="0" w:color="auto"/>
        <w:left w:val="none" w:sz="0" w:space="0" w:color="auto"/>
        <w:bottom w:val="none" w:sz="0" w:space="0" w:color="auto"/>
        <w:right w:val="none" w:sz="0" w:space="0" w:color="auto"/>
      </w:divBdr>
    </w:div>
    <w:div w:id="1619868684">
      <w:bodyDiv w:val="1"/>
      <w:marLeft w:val="0"/>
      <w:marRight w:val="0"/>
      <w:marTop w:val="0"/>
      <w:marBottom w:val="0"/>
      <w:divBdr>
        <w:top w:val="none" w:sz="0" w:space="0" w:color="auto"/>
        <w:left w:val="none" w:sz="0" w:space="0" w:color="auto"/>
        <w:bottom w:val="none" w:sz="0" w:space="0" w:color="auto"/>
        <w:right w:val="none" w:sz="0" w:space="0" w:color="auto"/>
      </w:divBdr>
    </w:div>
    <w:div w:id="1668971233">
      <w:bodyDiv w:val="1"/>
      <w:marLeft w:val="0"/>
      <w:marRight w:val="0"/>
      <w:marTop w:val="0"/>
      <w:marBottom w:val="0"/>
      <w:divBdr>
        <w:top w:val="none" w:sz="0" w:space="0" w:color="auto"/>
        <w:left w:val="none" w:sz="0" w:space="0" w:color="auto"/>
        <w:bottom w:val="none" w:sz="0" w:space="0" w:color="auto"/>
        <w:right w:val="none" w:sz="0" w:space="0" w:color="auto"/>
      </w:divBdr>
    </w:div>
    <w:div w:id="1689142500">
      <w:bodyDiv w:val="1"/>
      <w:marLeft w:val="0"/>
      <w:marRight w:val="0"/>
      <w:marTop w:val="0"/>
      <w:marBottom w:val="0"/>
      <w:divBdr>
        <w:top w:val="none" w:sz="0" w:space="0" w:color="auto"/>
        <w:left w:val="none" w:sz="0" w:space="0" w:color="auto"/>
        <w:bottom w:val="none" w:sz="0" w:space="0" w:color="auto"/>
        <w:right w:val="none" w:sz="0" w:space="0" w:color="auto"/>
      </w:divBdr>
    </w:div>
    <w:div w:id="1703171438">
      <w:bodyDiv w:val="1"/>
      <w:marLeft w:val="0"/>
      <w:marRight w:val="0"/>
      <w:marTop w:val="0"/>
      <w:marBottom w:val="0"/>
      <w:divBdr>
        <w:top w:val="none" w:sz="0" w:space="0" w:color="auto"/>
        <w:left w:val="none" w:sz="0" w:space="0" w:color="auto"/>
        <w:bottom w:val="none" w:sz="0" w:space="0" w:color="auto"/>
        <w:right w:val="none" w:sz="0" w:space="0" w:color="auto"/>
      </w:divBdr>
    </w:div>
    <w:div w:id="1830751654">
      <w:bodyDiv w:val="1"/>
      <w:marLeft w:val="0"/>
      <w:marRight w:val="0"/>
      <w:marTop w:val="0"/>
      <w:marBottom w:val="0"/>
      <w:divBdr>
        <w:top w:val="none" w:sz="0" w:space="0" w:color="auto"/>
        <w:left w:val="none" w:sz="0" w:space="0" w:color="auto"/>
        <w:bottom w:val="none" w:sz="0" w:space="0" w:color="auto"/>
        <w:right w:val="none" w:sz="0" w:space="0" w:color="auto"/>
      </w:divBdr>
    </w:div>
    <w:div w:id="19692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1840-825C-4496-A0F4-E7A9637E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2754</Words>
  <Characters>14653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MINUTA PARTICIPATIVA PL LPUOS 2014</vt:lpstr>
    </vt:vector>
  </TitlesOfParts>
  <Company>Microsoft</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PARTICIPATIVA PL LPUOS 2014</dc:title>
  <dc:creator>Andrea Oliveira Villela</dc:creator>
  <cp:lastModifiedBy>Andrea Oliveira Villela</cp:lastModifiedBy>
  <cp:revision>3</cp:revision>
  <cp:lastPrinted>2015-03-31T17:48:00Z</cp:lastPrinted>
  <dcterms:created xsi:type="dcterms:W3CDTF">2015-03-31T18:17:00Z</dcterms:created>
  <dcterms:modified xsi:type="dcterms:W3CDTF">2015-03-31T18:18:00Z</dcterms:modified>
</cp:coreProperties>
</file>